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7CED" w14:textId="77777777" w:rsidR="007A6F26" w:rsidRDefault="00CC4B0D">
      <w:pPr>
        <w:jc w:val="center"/>
      </w:pPr>
      <w:r>
        <w:t>191 FERC ¶ 61,153</w:t>
      </w:r>
    </w:p>
    <w:p w14:paraId="5C62442C" w14:textId="77777777" w:rsidR="001276F4" w:rsidRPr="00CD0B38" w:rsidRDefault="001176DD" w:rsidP="00887261">
      <w:pPr>
        <w:jc w:val="center"/>
      </w:pPr>
      <w:r>
        <w:rPr>
          <w:b/>
        </w:rPr>
        <w:fldChar w:fldCharType="begin"/>
      </w:r>
      <w:r>
        <w:rPr>
          <w:b/>
        </w:rPr>
        <w:instrText xml:space="preserve"> MACROBUTTON  AcceptAllChangesInDoc </w:instrText>
      </w:r>
      <w:r>
        <w:rPr>
          <w:b/>
        </w:rPr>
        <w:fldChar w:fldCharType="end"/>
      </w:r>
      <w:r w:rsidR="001276F4" w:rsidRPr="00CD0B38">
        <w:t>UNITED STATES OF AMERICA</w:t>
      </w:r>
    </w:p>
    <w:p w14:paraId="40DE2F0A" w14:textId="77777777" w:rsidR="001276F4" w:rsidRPr="00CD0B38" w:rsidRDefault="001276F4" w:rsidP="00FA780B">
      <w:pPr>
        <w:jc w:val="center"/>
      </w:pPr>
      <w:r w:rsidRPr="00CD0B38">
        <w:t>FEDERAL ENERGY REGULATORY COMMISSION</w:t>
      </w:r>
    </w:p>
    <w:p w14:paraId="26BF716B" w14:textId="77777777" w:rsidR="001276F4" w:rsidRPr="00CD0B38" w:rsidRDefault="001276F4" w:rsidP="00FA780B"/>
    <w:p w14:paraId="196EE719" w14:textId="77777777" w:rsidR="001276F4" w:rsidRPr="00887261" w:rsidRDefault="00887261" w:rsidP="00887261">
      <w:pPr>
        <w:widowControl/>
      </w:pPr>
      <w:r w:rsidRPr="00887261">
        <w:t>Before Commissioners:  Mark C. Christie, Chairman;</w:t>
      </w:r>
    </w:p>
    <w:p w14:paraId="4EA459A9" w14:textId="77777777" w:rsidR="00887261" w:rsidRPr="00887261" w:rsidRDefault="00887261" w:rsidP="00887261">
      <w:pPr>
        <w:widowControl/>
      </w:pPr>
      <w:r w:rsidRPr="00887261">
        <w:t xml:space="preserve">                                        David Rosner</w:t>
      </w:r>
      <w:r w:rsidR="005B4CF1">
        <w:t xml:space="preserve"> and </w:t>
      </w:r>
      <w:r w:rsidRPr="00887261">
        <w:t>Lindsay S. See</w:t>
      </w:r>
      <w:r w:rsidR="005B4CF1">
        <w:t>.</w:t>
      </w:r>
    </w:p>
    <w:p w14:paraId="12108F59" w14:textId="77777777" w:rsidR="001276F4" w:rsidRPr="00CD0B38" w:rsidRDefault="00887261" w:rsidP="005B4CF1">
      <w:pPr>
        <w:widowControl/>
      </w:pPr>
      <w:r w:rsidRPr="00887261">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1"/>
        <w:gridCol w:w="1535"/>
        <w:gridCol w:w="1894"/>
      </w:tblGrid>
      <w:tr w:rsidR="001276F4" w:rsidRPr="00CD0B38" w14:paraId="749F4A17" w14:textId="77777777" w:rsidTr="001276F4">
        <w:tc>
          <w:tcPr>
            <w:tcW w:w="6088" w:type="dxa"/>
            <w:shd w:val="clear" w:color="auto" w:fill="auto"/>
          </w:tcPr>
          <w:p w14:paraId="205812D7" w14:textId="77777777" w:rsidR="001276F4" w:rsidRDefault="001276F4" w:rsidP="00FA780B">
            <w:pPr>
              <w:widowControl/>
              <w:autoSpaceDE/>
              <w:autoSpaceDN/>
              <w:adjustRightInd/>
              <w:rPr>
                <w:rFonts w:eastAsiaTheme="minorHAnsi" w:cstheme="minorBidi"/>
                <w:szCs w:val="22"/>
              </w:rPr>
            </w:pPr>
            <w:r>
              <w:rPr>
                <w:rFonts w:eastAsiaTheme="minorHAnsi" w:cstheme="minorBidi"/>
                <w:szCs w:val="22"/>
              </w:rPr>
              <w:t>Venture Global CP2 LNG, LLC</w:t>
            </w:r>
          </w:p>
          <w:p w14:paraId="6DD77CD9" w14:textId="77777777" w:rsidR="001276F4" w:rsidRPr="00CD0B38" w:rsidRDefault="001276F4" w:rsidP="00FA780B">
            <w:pPr>
              <w:widowControl/>
              <w:autoSpaceDE/>
              <w:autoSpaceDN/>
              <w:adjustRightInd/>
              <w:rPr>
                <w:rFonts w:eastAsiaTheme="minorHAnsi" w:cstheme="minorBidi"/>
                <w:szCs w:val="22"/>
              </w:rPr>
            </w:pPr>
            <w:r>
              <w:rPr>
                <w:rFonts w:eastAsiaTheme="minorHAnsi" w:cstheme="minorBidi"/>
                <w:szCs w:val="22"/>
              </w:rPr>
              <w:t>Venture Global CP Express, LLC</w:t>
            </w:r>
          </w:p>
        </w:tc>
        <w:tc>
          <w:tcPr>
            <w:tcW w:w="1560" w:type="dxa"/>
            <w:shd w:val="clear" w:color="auto" w:fill="auto"/>
          </w:tcPr>
          <w:p w14:paraId="7EDD7A41" w14:textId="77777777" w:rsidR="001276F4" w:rsidRPr="00CD0B38" w:rsidRDefault="001276F4" w:rsidP="001276F4">
            <w:pPr>
              <w:widowControl/>
              <w:autoSpaceDE/>
              <w:autoSpaceDN/>
              <w:adjustRightInd/>
              <w:jc w:val="right"/>
              <w:rPr>
                <w:rFonts w:eastAsiaTheme="minorHAnsi" w:cstheme="minorBidi"/>
                <w:szCs w:val="22"/>
              </w:rPr>
            </w:pPr>
            <w:r>
              <w:rPr>
                <w:rFonts w:eastAsiaTheme="minorHAnsi" w:cstheme="minorBidi"/>
                <w:szCs w:val="22"/>
              </w:rPr>
              <w:t>Docket Nos.</w:t>
            </w:r>
          </w:p>
        </w:tc>
        <w:tc>
          <w:tcPr>
            <w:tcW w:w="1928" w:type="dxa"/>
            <w:shd w:val="clear" w:color="auto" w:fill="auto"/>
            <w:tcMar>
              <w:left w:w="144" w:type="dxa"/>
            </w:tcMar>
          </w:tcPr>
          <w:p w14:paraId="11A7FF56" w14:textId="77777777" w:rsidR="00737177" w:rsidRDefault="00887261" w:rsidP="00887261">
            <w:pPr>
              <w:widowControl/>
              <w:autoSpaceDE/>
              <w:autoSpaceDN/>
              <w:adjustRightInd/>
              <w:ind w:hanging="135"/>
              <w:rPr>
                <w:rFonts w:eastAsiaTheme="minorHAnsi" w:cstheme="minorBidi"/>
                <w:szCs w:val="22"/>
              </w:rPr>
            </w:pPr>
            <w:r>
              <w:rPr>
                <w:rFonts w:eastAsiaTheme="minorHAnsi" w:cstheme="minorBidi"/>
                <w:szCs w:val="22"/>
              </w:rPr>
              <w:t xml:space="preserve"> </w:t>
            </w:r>
            <w:r w:rsidR="00737177">
              <w:rPr>
                <w:rFonts w:eastAsiaTheme="minorHAnsi" w:cstheme="minorBidi"/>
                <w:szCs w:val="22"/>
              </w:rPr>
              <w:t>CP22-21-001</w:t>
            </w:r>
          </w:p>
          <w:p w14:paraId="74FB331F" w14:textId="77777777" w:rsidR="0008692D" w:rsidRDefault="00887261" w:rsidP="00887261">
            <w:pPr>
              <w:widowControl/>
              <w:autoSpaceDE/>
              <w:autoSpaceDN/>
              <w:adjustRightInd/>
              <w:ind w:hanging="135"/>
              <w:rPr>
                <w:rFonts w:eastAsiaTheme="minorHAnsi" w:cstheme="minorBidi"/>
                <w:szCs w:val="22"/>
              </w:rPr>
            </w:pPr>
            <w:r>
              <w:rPr>
                <w:rFonts w:eastAsiaTheme="minorHAnsi" w:cstheme="minorBidi"/>
                <w:szCs w:val="22"/>
              </w:rPr>
              <w:t xml:space="preserve"> </w:t>
            </w:r>
            <w:r w:rsidR="0008692D">
              <w:rPr>
                <w:rFonts w:eastAsiaTheme="minorHAnsi" w:cstheme="minorBidi"/>
                <w:szCs w:val="22"/>
              </w:rPr>
              <w:t>CP22-21-002</w:t>
            </w:r>
          </w:p>
          <w:p w14:paraId="63E524E5" w14:textId="77777777" w:rsidR="001276F4" w:rsidRDefault="00887261" w:rsidP="00887261">
            <w:pPr>
              <w:widowControl/>
              <w:autoSpaceDE/>
              <w:autoSpaceDN/>
              <w:adjustRightInd/>
              <w:ind w:hanging="135"/>
              <w:rPr>
                <w:rFonts w:eastAsiaTheme="minorHAnsi" w:cstheme="minorBidi"/>
                <w:szCs w:val="22"/>
              </w:rPr>
            </w:pPr>
            <w:r>
              <w:rPr>
                <w:rFonts w:eastAsiaTheme="minorHAnsi" w:cstheme="minorBidi"/>
                <w:szCs w:val="22"/>
              </w:rPr>
              <w:t xml:space="preserve"> </w:t>
            </w:r>
            <w:r w:rsidR="00737177">
              <w:rPr>
                <w:rFonts w:eastAsiaTheme="minorHAnsi" w:cstheme="minorBidi"/>
                <w:szCs w:val="22"/>
              </w:rPr>
              <w:t>CP22-22-</w:t>
            </w:r>
            <w:r w:rsidR="0039301C">
              <w:rPr>
                <w:rFonts w:eastAsiaTheme="minorHAnsi" w:cstheme="minorBidi"/>
                <w:szCs w:val="22"/>
              </w:rPr>
              <w:t>001</w:t>
            </w:r>
          </w:p>
          <w:p w14:paraId="68C5501D" w14:textId="77777777" w:rsidR="001276F4" w:rsidRPr="00CD0B38" w:rsidRDefault="00887261" w:rsidP="00FA780B">
            <w:pPr>
              <w:widowControl/>
              <w:autoSpaceDE/>
              <w:autoSpaceDN/>
              <w:adjustRightInd/>
              <w:ind w:hanging="135"/>
              <w:rPr>
                <w:rFonts w:eastAsiaTheme="minorHAnsi" w:cstheme="minorBidi"/>
                <w:szCs w:val="22"/>
              </w:rPr>
            </w:pPr>
            <w:r>
              <w:rPr>
                <w:rFonts w:eastAsiaTheme="minorHAnsi" w:cstheme="minorBidi"/>
                <w:szCs w:val="22"/>
              </w:rPr>
              <w:t xml:space="preserve"> </w:t>
            </w:r>
            <w:r w:rsidR="001276F4">
              <w:rPr>
                <w:rFonts w:eastAsiaTheme="minorHAnsi" w:cstheme="minorBidi"/>
                <w:szCs w:val="22"/>
              </w:rPr>
              <w:t>CP22-22-002</w:t>
            </w:r>
          </w:p>
        </w:tc>
      </w:tr>
    </w:tbl>
    <w:p w14:paraId="1DEA413B" w14:textId="77777777" w:rsidR="001276F4" w:rsidRPr="00CD0B38" w:rsidRDefault="001276F4" w:rsidP="00FA780B">
      <w:pPr>
        <w:jc w:val="center"/>
      </w:pPr>
    </w:p>
    <w:p w14:paraId="3ED52510" w14:textId="77777777" w:rsidR="001276F4" w:rsidRPr="00CD0B38" w:rsidRDefault="001276F4" w:rsidP="00FA780B">
      <w:pPr>
        <w:jc w:val="center"/>
      </w:pPr>
      <w:r>
        <w:t xml:space="preserve">ORDER ADDRESSING </w:t>
      </w:r>
      <w:r w:rsidR="00B3274F">
        <w:t xml:space="preserve">ARGUMENTS </w:t>
      </w:r>
      <w:r>
        <w:t>RAISED ON REHEARING</w:t>
      </w:r>
      <w:r w:rsidR="00A963D8">
        <w:t xml:space="preserve"> AND</w:t>
      </w:r>
      <w:r w:rsidR="00B069CF">
        <w:t xml:space="preserve"> GRANTING CLARIFICATION</w:t>
      </w:r>
    </w:p>
    <w:p w14:paraId="11FBAC3C" w14:textId="77777777" w:rsidR="001276F4" w:rsidRPr="00CD0B38" w:rsidRDefault="001276F4" w:rsidP="00FA780B">
      <w:pPr>
        <w:jc w:val="center"/>
      </w:pPr>
    </w:p>
    <w:p w14:paraId="7F0B2FF7" w14:textId="77777777" w:rsidR="001276F4" w:rsidRDefault="001276F4" w:rsidP="00887261">
      <w:pPr>
        <w:widowControl/>
        <w:jc w:val="center"/>
      </w:pPr>
      <w:r w:rsidRPr="00887261">
        <w:t>(</w:t>
      </w:r>
      <w:r w:rsidRPr="00887261">
        <w:fldChar w:fldCharType="begin"/>
      </w:r>
      <w:r w:rsidRPr="00887261">
        <w:instrText xml:space="preserve"> MACROBUTTON  AcceptAllChangesInDoc </w:instrText>
      </w:r>
      <w:r w:rsidRPr="00887261">
        <w:fldChar w:fldCharType="end"/>
      </w:r>
      <w:r w:rsidR="00887261" w:rsidRPr="00887261">
        <w:t>Issued May 23, 2025)</w:t>
      </w:r>
    </w:p>
    <w:p w14:paraId="6B3C2372" w14:textId="77777777" w:rsidR="001276F4" w:rsidRPr="00C26B1C" w:rsidRDefault="001276F4" w:rsidP="00FA780B">
      <w:pPr>
        <w:rPr>
          <w:bCs/>
        </w:rPr>
      </w:pPr>
    </w:p>
    <w:p w14:paraId="7D28AB0C" w14:textId="77777777" w:rsidR="001276F4" w:rsidRDefault="001276F4" w:rsidP="00FD3D3B">
      <w:pPr>
        <w:pStyle w:val="FERCparanumber"/>
      </w:pPr>
      <w:r w:rsidRPr="001276F4">
        <w:t>On June 27, 2024, the Commission issued an order</w:t>
      </w:r>
      <w:r w:rsidR="00887261">
        <w:t xml:space="preserve">:  </w:t>
      </w:r>
      <w:r w:rsidRPr="001276F4">
        <w:t>(1)</w:t>
      </w:r>
      <w:r w:rsidR="00A93E77">
        <w:t> </w:t>
      </w:r>
      <w:r w:rsidRPr="001276F4">
        <w:t>authorizing Venture Global CP2 LNG, LLC (CP2 LNG) to site, construct, and operate a new liquefied natural gas (LNG) export terminal and associated facilities on the east side of the Calcasieu Ship Channel in Cameron Parish, Louisiana (CP2 LNG Project); and (2</w:t>
      </w:r>
      <w:r w:rsidRPr="001276F4" w:rsidDel="00B64DC8">
        <w:t>)</w:t>
      </w:r>
      <w:r w:rsidRPr="001276F4">
        <w:t xml:space="preserve"> issuing Venture Global CP Express, LLC (CP Express) a certificate of public convenience and necessity to construct and operate a new interstate natural gas pipeline system to connect the </w:t>
      </w:r>
      <w:r w:rsidR="00887261">
        <w:t xml:space="preserve">     </w:t>
      </w:r>
      <w:r w:rsidRPr="001276F4">
        <w:t xml:space="preserve">CP2 LNG </w:t>
      </w:r>
      <w:r w:rsidR="00F22F7C">
        <w:t xml:space="preserve">Project </w:t>
      </w:r>
      <w:r w:rsidRPr="001276F4">
        <w:t>to the existing natural gas pipeline grid in east Texas and southwest Louisiana (CP Express Pipeline Project).</w:t>
      </w:r>
      <w:r w:rsidRPr="001276F4">
        <w:rPr>
          <w:b/>
          <w:vertAlign w:val="superscript"/>
        </w:rPr>
        <w:footnoteReference w:id="2"/>
      </w:r>
      <w:r w:rsidRPr="001276F4">
        <w:t xml:space="preserve">  On July 29, 2024, a coalition of petitioners </w:t>
      </w:r>
      <w:r w:rsidRPr="001276F4">
        <w:lastRenderedPageBreak/>
        <w:t>(Petitioners)</w:t>
      </w:r>
      <w:r w:rsidRPr="001276F4">
        <w:rPr>
          <w:b/>
          <w:vertAlign w:val="superscript"/>
        </w:rPr>
        <w:footnoteReference w:id="3"/>
      </w:r>
      <w:r w:rsidRPr="001276F4">
        <w:t xml:space="preserve"> filed a timely request for rehearing of the Authorization Order.</w:t>
      </w:r>
      <w:r w:rsidRPr="001276F4">
        <w:rPr>
          <w:b/>
          <w:vertAlign w:val="superscript"/>
        </w:rPr>
        <w:footnoteReference w:id="4"/>
      </w:r>
      <w:r w:rsidRPr="001276F4" w:rsidDel="00AD203E">
        <w:t xml:space="preserve"> </w:t>
      </w:r>
      <w:r w:rsidR="003A11FF">
        <w:t xml:space="preserve"> On November 27, 20</w:t>
      </w:r>
      <w:r w:rsidR="007525B2">
        <w:t xml:space="preserve">24, the Commission issued an order addressing </w:t>
      </w:r>
      <w:r w:rsidR="00E6774E">
        <w:t>Petitioners</w:t>
      </w:r>
      <w:r w:rsidR="003E36B9">
        <w:t>’</w:t>
      </w:r>
      <w:r w:rsidR="00E6774E">
        <w:t xml:space="preserve"> </w:t>
      </w:r>
      <w:r w:rsidR="007525B2">
        <w:t xml:space="preserve">arguments raised on rehearing </w:t>
      </w:r>
      <w:r w:rsidR="00AF7DBE">
        <w:t xml:space="preserve">except for </w:t>
      </w:r>
      <w:r w:rsidR="007967AE">
        <w:t xml:space="preserve">those related to </w:t>
      </w:r>
      <w:r w:rsidR="0080768C">
        <w:t>air quality</w:t>
      </w:r>
      <w:r w:rsidR="00CD15D9">
        <w:t xml:space="preserve"> claims.</w:t>
      </w:r>
      <w:r w:rsidR="00CE2044">
        <w:t xml:space="preserve">  </w:t>
      </w:r>
      <w:r w:rsidR="001366DA">
        <w:t>In light of</w:t>
      </w:r>
      <w:r w:rsidR="000C7D79">
        <w:t xml:space="preserve"> the </w:t>
      </w:r>
      <w:r w:rsidR="00887261">
        <w:t xml:space="preserve">                 </w:t>
      </w:r>
      <w:r w:rsidR="000C7D79">
        <w:t xml:space="preserve">U.S. Court of Appeals for the </w:t>
      </w:r>
      <w:r w:rsidR="00285CCF">
        <w:t>District of Columbia</w:t>
      </w:r>
      <w:r w:rsidR="000C7D79" w:rsidRPr="00E6774E">
        <w:t xml:space="preserve"> Circuit</w:t>
      </w:r>
      <w:r w:rsidR="00333BA6">
        <w:t>’s</w:t>
      </w:r>
      <w:r w:rsidR="000C7D79">
        <w:t xml:space="preserve"> (D.C. Circuit)</w:t>
      </w:r>
      <w:r w:rsidR="007A3BB5">
        <w:t xml:space="preserve"> </w:t>
      </w:r>
      <w:r w:rsidR="00333BA6">
        <w:t>July 2024 order</w:t>
      </w:r>
      <w:r w:rsidR="003F47C5">
        <w:t xml:space="preserve"> </w:t>
      </w:r>
      <w:r w:rsidR="0090765A">
        <w:t xml:space="preserve">finding the Commission’s </w:t>
      </w:r>
      <w:r w:rsidR="00AF6546">
        <w:t>air quality</w:t>
      </w:r>
      <w:r w:rsidR="00916BC6">
        <w:t xml:space="preserve"> analysis </w:t>
      </w:r>
      <w:r w:rsidR="00EF7DE7">
        <w:t>inadequate</w:t>
      </w:r>
      <w:r w:rsidR="007218DD">
        <w:t xml:space="preserve"> regarding </w:t>
      </w:r>
      <w:r w:rsidR="000F78C4">
        <w:t>an LNG</w:t>
      </w:r>
      <w:r w:rsidR="007B7446">
        <w:t xml:space="preserve"> project’s nitrogen </w:t>
      </w:r>
      <w:r w:rsidR="000F78C4">
        <w:t>dioxide</w:t>
      </w:r>
      <w:r w:rsidR="007B7446">
        <w:t xml:space="preserve"> </w:t>
      </w:r>
      <w:r w:rsidR="002B43F7">
        <w:t>(</w:t>
      </w:r>
      <w:r w:rsidR="002B43F7" w:rsidRPr="00E6774E">
        <w:t>NO</w:t>
      </w:r>
      <w:r w:rsidR="002B43F7" w:rsidRPr="00E6774E">
        <w:rPr>
          <w:vertAlign w:val="subscript"/>
        </w:rPr>
        <w:t>2</w:t>
      </w:r>
      <w:r w:rsidR="002B43F7">
        <w:t xml:space="preserve">) </w:t>
      </w:r>
      <w:r w:rsidR="007218DD">
        <w:t>cumulative impacts</w:t>
      </w:r>
      <w:r w:rsidR="007B7446">
        <w:t>,</w:t>
      </w:r>
      <w:r w:rsidR="00545612">
        <w:rPr>
          <w:rStyle w:val="FootnoteReference"/>
        </w:rPr>
        <w:footnoteReference w:id="5"/>
      </w:r>
      <w:r w:rsidR="00D52127">
        <w:t xml:space="preserve"> the Commission </w:t>
      </w:r>
      <w:r w:rsidR="00E6774E" w:rsidRPr="00E6774E">
        <w:t xml:space="preserve">set aside </w:t>
      </w:r>
      <w:r w:rsidR="002B72B9">
        <w:t xml:space="preserve">the </w:t>
      </w:r>
      <w:r w:rsidR="00E6774E" w:rsidRPr="00E6774E">
        <w:t xml:space="preserve">analysis </w:t>
      </w:r>
      <w:r w:rsidR="009B21B9">
        <w:t>in the Authorization Order</w:t>
      </w:r>
      <w:r w:rsidR="00E6774E" w:rsidRPr="00E6774E">
        <w:t xml:space="preserve"> of NO</w:t>
      </w:r>
      <w:r w:rsidR="00E6774E" w:rsidRPr="00E6774E">
        <w:rPr>
          <w:vertAlign w:val="subscript"/>
        </w:rPr>
        <w:t>2</w:t>
      </w:r>
      <w:r w:rsidR="00A1294D">
        <w:t xml:space="preserve"> </w:t>
      </w:r>
      <w:r w:rsidR="00E6774E" w:rsidRPr="00E6774E">
        <w:t xml:space="preserve">and </w:t>
      </w:r>
      <w:r w:rsidR="00E4679F">
        <w:rPr>
          <w:rFonts w:eastAsia="Times New Roman"/>
        </w:rPr>
        <w:t>particulate matter</w:t>
      </w:r>
      <w:r w:rsidR="00E223E0" w:rsidRPr="327E7033">
        <w:rPr>
          <w:rFonts w:eastAsia="Times New Roman"/>
        </w:rPr>
        <w:t xml:space="preserve"> with an aerodynamic diameter of less than or equal to 2.5 microns (</w:t>
      </w:r>
      <w:r w:rsidR="00E6774E" w:rsidRPr="00E6774E">
        <w:t>PM</w:t>
      </w:r>
      <w:r w:rsidR="00E6774E" w:rsidRPr="00E6774E">
        <w:rPr>
          <w:vertAlign w:val="subscript"/>
        </w:rPr>
        <w:t>2.5</w:t>
      </w:r>
      <w:r w:rsidR="00E223E0">
        <w:t>)</w:t>
      </w:r>
      <w:r w:rsidR="00A15628">
        <w:t xml:space="preserve"> emissions</w:t>
      </w:r>
      <w:r w:rsidR="00E6774E" w:rsidRPr="00E6774E">
        <w:t xml:space="preserve"> </w:t>
      </w:r>
      <w:r w:rsidR="00451DCA">
        <w:t xml:space="preserve">to conduct </w:t>
      </w:r>
      <w:r w:rsidR="00E6774E" w:rsidRPr="00E6774E">
        <w:t>supplemental environmental analys</w:t>
      </w:r>
      <w:r w:rsidR="00377912">
        <w:t>e</w:t>
      </w:r>
      <w:r w:rsidR="00E6774E" w:rsidRPr="00E6774E">
        <w:t>s</w:t>
      </w:r>
      <w:r w:rsidR="00D96853">
        <w:t>, with a further merits order to follow</w:t>
      </w:r>
      <w:r w:rsidR="00E6774E">
        <w:t>.</w:t>
      </w:r>
      <w:r w:rsidR="00E6774E">
        <w:rPr>
          <w:rStyle w:val="FootnoteReference"/>
        </w:rPr>
        <w:footnoteReference w:id="6"/>
      </w:r>
      <w:r w:rsidR="00F76905">
        <w:t xml:space="preserve">  </w:t>
      </w:r>
      <w:r w:rsidR="007674B1">
        <w:t>T</w:t>
      </w:r>
      <w:r w:rsidR="00D96853">
        <w:t xml:space="preserve">he Commission </w:t>
      </w:r>
      <w:r w:rsidR="000C4F32">
        <w:t>withheld</w:t>
      </w:r>
      <w:r w:rsidR="0010634A">
        <w:t xml:space="preserve"> issu</w:t>
      </w:r>
      <w:r w:rsidR="00C80B9F">
        <w:t>anc</w:t>
      </w:r>
      <w:r w:rsidR="0010634A">
        <w:t xml:space="preserve">e </w:t>
      </w:r>
      <w:r w:rsidR="003230F9">
        <w:t xml:space="preserve">of </w:t>
      </w:r>
      <w:r w:rsidR="0010634A">
        <w:t xml:space="preserve">any </w:t>
      </w:r>
      <w:r w:rsidR="0009030D" w:rsidRPr="0009030D">
        <w:t>authorization</w:t>
      </w:r>
      <w:r w:rsidR="0010634A">
        <w:t>s</w:t>
      </w:r>
      <w:r w:rsidR="0009030D" w:rsidRPr="0009030D">
        <w:t xml:space="preserve"> to proceed with construction of the </w:t>
      </w:r>
      <w:r w:rsidR="00B3274F">
        <w:t>Projects</w:t>
      </w:r>
      <w:r w:rsidR="0009030D" w:rsidRPr="0009030D">
        <w:t xml:space="preserve"> until </w:t>
      </w:r>
      <w:r w:rsidR="002E76EF">
        <w:t xml:space="preserve">it </w:t>
      </w:r>
      <w:r w:rsidR="0009030D" w:rsidRPr="0009030D">
        <w:t>issue</w:t>
      </w:r>
      <w:r w:rsidR="00DF5DD2">
        <w:t>d</w:t>
      </w:r>
      <w:r w:rsidR="0009030D" w:rsidRPr="0009030D">
        <w:t xml:space="preserve"> a further merits order.</w:t>
      </w:r>
      <w:r w:rsidR="00243C05">
        <w:rPr>
          <w:rStyle w:val="FootnoteReference"/>
        </w:rPr>
        <w:footnoteReference w:id="7"/>
      </w:r>
      <w:r w:rsidR="00B3274F">
        <w:t xml:space="preserve">  </w:t>
      </w:r>
      <w:r w:rsidR="00243C05">
        <w:t xml:space="preserve">On </w:t>
      </w:r>
      <w:r w:rsidR="00DA53C8">
        <w:t xml:space="preserve">December 23, 2024, </w:t>
      </w:r>
      <w:r w:rsidR="00243C05">
        <w:t xml:space="preserve">Venture Global </w:t>
      </w:r>
      <w:r w:rsidR="00DA53C8" w:rsidRPr="001276F4">
        <w:t>filed a timely request for rehearing</w:t>
      </w:r>
      <w:r w:rsidR="00DA53C8">
        <w:t xml:space="preserve"> of the Rehearing Order.</w:t>
      </w:r>
    </w:p>
    <w:p w14:paraId="1C36D516" w14:textId="77777777" w:rsidR="00F07686" w:rsidRDefault="00B069CF" w:rsidP="00EC038B">
      <w:pPr>
        <w:pStyle w:val="FERCparanumber"/>
      </w:pPr>
      <w:r w:rsidRPr="00B069CF">
        <w:t xml:space="preserve">Pursuant to </w:t>
      </w:r>
      <w:r w:rsidRPr="00B069CF">
        <w:rPr>
          <w:i/>
          <w:iCs/>
        </w:rPr>
        <w:t>Allegheny Defense Project v. FERC</w:t>
      </w:r>
      <w:r w:rsidRPr="00B069CF">
        <w:t>,</w:t>
      </w:r>
      <w:r w:rsidRPr="00B069CF">
        <w:rPr>
          <w:b/>
          <w:vertAlign w:val="superscript"/>
        </w:rPr>
        <w:footnoteReference w:id="8"/>
      </w:r>
      <w:r w:rsidRPr="00B069CF">
        <w:t xml:space="preserve"> the rehearing request</w:t>
      </w:r>
      <w:r>
        <w:t>s</w:t>
      </w:r>
      <w:r w:rsidRPr="00B069CF">
        <w:t xml:space="preserve"> filed in this proceeding may be deemed denied by operation of law.  However, as permitted by </w:t>
      </w:r>
      <w:r w:rsidRPr="00B069CF">
        <w:lastRenderedPageBreak/>
        <w:t>section 19(a) of the Natural Gas Act (NGA),</w:t>
      </w:r>
      <w:r w:rsidRPr="00B069CF">
        <w:rPr>
          <w:b/>
          <w:vertAlign w:val="superscript"/>
        </w:rPr>
        <w:footnoteReference w:id="9"/>
      </w:r>
      <w:r w:rsidRPr="00B069CF">
        <w:t xml:space="preserve"> we are modifying the discussion in the Authorization Order</w:t>
      </w:r>
      <w:r>
        <w:t xml:space="preserve"> and the Rehearing Order </w:t>
      </w:r>
      <w:r w:rsidR="00EC038B">
        <w:t xml:space="preserve">and </w:t>
      </w:r>
      <w:r w:rsidR="00EC038B" w:rsidRPr="00EC038B">
        <w:t>continue to reach the same result</w:t>
      </w:r>
      <w:r w:rsidR="00EC038B" w:rsidRPr="00EC038B">
        <w:rPr>
          <w:bCs/>
        </w:rPr>
        <w:t xml:space="preserve"> </w:t>
      </w:r>
      <w:r w:rsidR="00EC038B" w:rsidRPr="00EC038B">
        <w:t>in this proceeding, as discussed below.</w:t>
      </w:r>
      <w:r w:rsidR="00EC038B" w:rsidRPr="00EC038B">
        <w:rPr>
          <w:b/>
          <w:vertAlign w:val="superscript"/>
        </w:rPr>
        <w:footnoteReference w:id="10"/>
      </w:r>
      <w:r w:rsidR="00EC038B" w:rsidRPr="00EC038B">
        <w:t xml:space="preserve"> </w:t>
      </w:r>
      <w:r w:rsidR="0053065D">
        <w:t xml:space="preserve"> Accordingly, this order addresses</w:t>
      </w:r>
      <w:r w:rsidR="00896A44">
        <w:t xml:space="preserve">:  (1) </w:t>
      </w:r>
      <w:r w:rsidR="00726A14">
        <w:t xml:space="preserve">Petitioners’ original </w:t>
      </w:r>
      <w:r w:rsidR="00CE02CB">
        <w:t xml:space="preserve">claims on rehearing </w:t>
      </w:r>
      <w:r w:rsidR="00302215">
        <w:t xml:space="preserve">of the Authorization Order </w:t>
      </w:r>
      <w:r w:rsidR="00CE02CB">
        <w:t xml:space="preserve">regarding air quality and </w:t>
      </w:r>
      <w:r w:rsidR="00887261">
        <w:t xml:space="preserve">                    </w:t>
      </w:r>
      <w:r w:rsidR="00CE02CB">
        <w:t xml:space="preserve">(2) Venture Global’s </w:t>
      </w:r>
      <w:r w:rsidR="00D945AA">
        <w:t>request for rehearing of the Rehearing Order.</w:t>
      </w:r>
      <w:r w:rsidR="00EC038B" w:rsidRPr="00EC038B">
        <w:t xml:space="preserve"> </w:t>
      </w:r>
    </w:p>
    <w:p w14:paraId="7E996BDB" w14:textId="77777777" w:rsidR="001276F4" w:rsidRDefault="001276F4" w:rsidP="001276F4">
      <w:pPr>
        <w:pStyle w:val="Heading1"/>
      </w:pPr>
      <w:r>
        <w:t>Background</w:t>
      </w:r>
    </w:p>
    <w:p w14:paraId="5ECB999B" w14:textId="77777777" w:rsidR="001276F4" w:rsidRDefault="00B97632" w:rsidP="002E3340">
      <w:pPr>
        <w:pStyle w:val="Heading2"/>
      </w:pPr>
      <w:r>
        <w:t>Projects</w:t>
      </w:r>
      <w:r w:rsidR="00FA74FF">
        <w:t xml:space="preserve"> </w:t>
      </w:r>
    </w:p>
    <w:p w14:paraId="43D0C2A0" w14:textId="77777777" w:rsidR="00856983" w:rsidRPr="00365C81" w:rsidRDefault="00856983" w:rsidP="00856983">
      <w:pPr>
        <w:pStyle w:val="FERCparanumber"/>
      </w:pPr>
      <w:r w:rsidRPr="00365C81">
        <w:t xml:space="preserve">On December 2, 2021, CP2 LNG filed an application, in Docket </w:t>
      </w:r>
      <w:r w:rsidR="00887261">
        <w:t xml:space="preserve">                                   </w:t>
      </w:r>
      <w:r w:rsidRPr="00365C81">
        <w:t>No. CP22-21-000, under NGA section 3</w:t>
      </w:r>
      <w:r w:rsidRPr="00365C81">
        <w:rPr>
          <w:b/>
          <w:vertAlign w:val="superscript"/>
        </w:rPr>
        <w:footnoteReference w:id="11"/>
      </w:r>
      <w:r w:rsidRPr="00365C81">
        <w:t xml:space="preserve"> and Part 153 of the Commission’s regulations</w:t>
      </w:r>
      <w:r w:rsidRPr="00365C81">
        <w:rPr>
          <w:b/>
          <w:vertAlign w:val="superscript"/>
        </w:rPr>
        <w:footnoteReference w:id="12"/>
      </w:r>
      <w:r w:rsidRPr="00365C81">
        <w:t xml:space="preserve"> for authorization to site, construct, and operate the CP2 LNG Project, with 20 million metric tons per annum (MTPA) of nameplate liquefaction capacity and a peak achievable capacity of 28 MTPA under optimal operating conditions.</w:t>
      </w:r>
      <w:r w:rsidRPr="00365C81">
        <w:rPr>
          <w:b/>
          <w:vertAlign w:val="superscript"/>
        </w:rPr>
        <w:footnoteReference w:id="13"/>
      </w:r>
      <w:r w:rsidRPr="00365C81">
        <w:t xml:space="preserve">  The project would be constructed in two phases</w:t>
      </w:r>
      <w:r w:rsidRPr="00365C81">
        <w:rPr>
          <w:rStyle w:val="FootnoteReference"/>
        </w:rPr>
        <w:footnoteReference w:id="14"/>
      </w:r>
      <w:r w:rsidRPr="00365C81">
        <w:t xml:space="preserve"> and include a liquefaction plant consisting of eighteen liquefaction blocks, four aboveground full containment LNG storage tanks, and </w:t>
      </w:r>
      <w:r w:rsidRPr="00365C81">
        <w:lastRenderedPageBreak/>
        <w:t>two marine LNG loading docks.</w:t>
      </w:r>
      <w:r w:rsidRPr="00365C81">
        <w:rPr>
          <w:rStyle w:val="FootnoteReference"/>
        </w:rPr>
        <w:footnoteReference w:id="15"/>
      </w:r>
      <w:r w:rsidRPr="00365C81">
        <w:t xml:space="preserve">  The CP2 LNG Project </w:t>
      </w:r>
      <w:r w:rsidR="00C74EDA">
        <w:t>would</w:t>
      </w:r>
      <w:r w:rsidRPr="00365C81">
        <w:t xml:space="preserve"> receive natural gas via the CP Express Pipeline Project.</w:t>
      </w:r>
      <w:r w:rsidRPr="00365C81">
        <w:rPr>
          <w:rStyle w:val="FootnoteReference"/>
        </w:rPr>
        <w:footnoteReference w:id="16"/>
      </w:r>
    </w:p>
    <w:p w14:paraId="3AC73C82" w14:textId="77777777" w:rsidR="002A7CB3" w:rsidRDefault="002A7CB3" w:rsidP="00CF043D">
      <w:pPr>
        <w:pStyle w:val="FERCparanumber"/>
      </w:pPr>
      <w:r w:rsidRPr="00365C81">
        <w:t>In the same application, CP Express filed a request, in Docket No. CP22-22-000, under NGA section 7(c)</w:t>
      </w:r>
      <w:r w:rsidRPr="00365C81">
        <w:rPr>
          <w:b/>
          <w:vertAlign w:val="superscript"/>
        </w:rPr>
        <w:footnoteReference w:id="17"/>
      </w:r>
      <w:r w:rsidRPr="00365C81">
        <w:t xml:space="preserve"> and Parts 157 and 284 of the Commission’s regulations,</w:t>
      </w:r>
      <w:r w:rsidRPr="00365C81">
        <w:rPr>
          <w:b/>
          <w:vertAlign w:val="superscript"/>
        </w:rPr>
        <w:footnoteReference w:id="18"/>
      </w:r>
      <w:r w:rsidRPr="00365C81">
        <w:t xml:space="preserve"> for a certificate of public convenience and necessity to construct and operate the CP Express Pipeline Project.</w:t>
      </w:r>
      <w:r w:rsidRPr="00365C81">
        <w:rPr>
          <w:rStyle w:val="FootnoteReference"/>
        </w:rPr>
        <w:footnoteReference w:id="19"/>
      </w:r>
      <w:r w:rsidRPr="00365C81">
        <w:t xml:space="preserve">  The CP Express Pipeline Project</w:t>
      </w:r>
      <w:r w:rsidRPr="00365C81" w:rsidDel="006E4EBC">
        <w:t xml:space="preserve"> </w:t>
      </w:r>
      <w:r w:rsidRPr="00365C81">
        <w:t>would originate at interconnections with Transcontinental Gas Pipe Line</w:t>
      </w:r>
      <w:r w:rsidR="001403B8">
        <w:t xml:space="preserve"> Company, LLC</w:t>
      </w:r>
      <w:r w:rsidRPr="00365C81">
        <w:t>’s interstate system and Midcoast Energy</w:t>
      </w:r>
      <w:r w:rsidR="004756BD">
        <w:t>, LLC</w:t>
      </w:r>
      <w:r w:rsidRPr="00365C81">
        <w:t xml:space="preserve">’s CJ Express pipeline in Jasper County, Texas, extend through Newton County, Texas, and Calcasieu and Cameron Parishes, Louisiana, and terminate at the </w:t>
      </w:r>
      <w:r w:rsidR="00887261">
        <w:t xml:space="preserve">          </w:t>
      </w:r>
      <w:r w:rsidRPr="00365C81">
        <w:t>CP2 LNG Project.</w:t>
      </w:r>
      <w:r w:rsidRPr="00365C81">
        <w:rPr>
          <w:rStyle w:val="FootnoteReference"/>
        </w:rPr>
        <w:footnoteReference w:id="20"/>
      </w:r>
      <w:r w:rsidRPr="00365C81">
        <w:t xml:space="preserve">  The CP Express Pipeline </w:t>
      </w:r>
      <w:r w:rsidR="008E5BFB">
        <w:t xml:space="preserve">Project </w:t>
      </w:r>
      <w:r w:rsidRPr="00365C81">
        <w:t xml:space="preserve">would provide up to </w:t>
      </w:r>
      <w:r w:rsidR="00887261">
        <w:t xml:space="preserve">                </w:t>
      </w:r>
      <w:r w:rsidRPr="00365C81">
        <w:t>4,400,000 dekatherms per day (Dth/day) of firm natural gas transportation service</w:t>
      </w:r>
      <w:r w:rsidRPr="00365C81">
        <w:rPr>
          <w:rStyle w:val="FootnoteReference"/>
        </w:rPr>
        <w:footnoteReference w:id="21"/>
      </w:r>
      <w:r w:rsidRPr="00365C81">
        <w:t xml:space="preserve"> </w:t>
      </w:r>
      <w:r w:rsidR="007D76BA">
        <w:t xml:space="preserve">and </w:t>
      </w:r>
      <w:r w:rsidR="00C74EDA">
        <w:t>would</w:t>
      </w:r>
      <w:r w:rsidR="007D76BA">
        <w:t xml:space="preserve"> include</w:t>
      </w:r>
      <w:r w:rsidR="004B5A3C">
        <w:t xml:space="preserve"> </w:t>
      </w:r>
      <w:r w:rsidR="00E36D15">
        <w:t>the construction and operation of the Moss Lake Compressor Station</w:t>
      </w:r>
      <w:r w:rsidR="004B5A3C">
        <w:t xml:space="preserve"> in Calcasieu Parish, Louisiana (Moss Lake Compressor Station).</w:t>
      </w:r>
      <w:r w:rsidR="004B5A3C">
        <w:rPr>
          <w:rStyle w:val="FootnoteReference"/>
        </w:rPr>
        <w:footnoteReference w:id="22"/>
      </w:r>
      <w:r w:rsidR="0083689E">
        <w:t xml:space="preserve"> </w:t>
      </w:r>
      <w:r w:rsidRPr="00365C81" w:rsidDel="0083689E">
        <w:t xml:space="preserve"> </w:t>
      </w:r>
      <w:r w:rsidR="00472DDD">
        <w:t>The</w:t>
      </w:r>
      <w:r w:rsidRPr="00365C81" w:rsidDel="0083689E">
        <w:t xml:space="preserve"> </w:t>
      </w:r>
      <w:r w:rsidRPr="00365C81">
        <w:t xml:space="preserve">CP Express Pipeline </w:t>
      </w:r>
      <w:r w:rsidR="000C0E19">
        <w:t xml:space="preserve">Project </w:t>
      </w:r>
      <w:r w:rsidRPr="00365C81">
        <w:t>would be constructed and operated in two phases</w:t>
      </w:r>
      <w:r w:rsidR="00EB7AFA">
        <w:t>;</w:t>
      </w:r>
      <w:r w:rsidRPr="00365C81">
        <w:t xml:space="preserve"> </w:t>
      </w:r>
      <w:r w:rsidR="00FC2E57">
        <w:t xml:space="preserve">the </w:t>
      </w:r>
      <w:r w:rsidRPr="00365C81">
        <w:t xml:space="preserve">Phase I </w:t>
      </w:r>
      <w:r w:rsidR="00FC2E57">
        <w:t xml:space="preserve">pipeline facilities </w:t>
      </w:r>
      <w:r w:rsidRPr="00365C81">
        <w:t>would provide 2,200,000 Dth/day of firm transportation service</w:t>
      </w:r>
      <w:r w:rsidR="002C62BD">
        <w:t xml:space="preserve"> and </w:t>
      </w:r>
      <w:r w:rsidRPr="00365C81">
        <w:t xml:space="preserve">Phase II </w:t>
      </w:r>
      <w:r w:rsidR="004F59E9">
        <w:t>facilities</w:t>
      </w:r>
      <w:r w:rsidR="0067015F">
        <w:t xml:space="preserve"> </w:t>
      </w:r>
      <w:r w:rsidRPr="00365C81">
        <w:lastRenderedPageBreak/>
        <w:t>provid</w:t>
      </w:r>
      <w:r w:rsidR="0067015F">
        <w:t>ing</w:t>
      </w:r>
      <w:r w:rsidRPr="00365C81">
        <w:t xml:space="preserve"> an additional 2,200,000 Dth/day of firm transportation service</w:t>
      </w:r>
      <w:r w:rsidR="004F59E9">
        <w:t xml:space="preserve"> to correspond to the </w:t>
      </w:r>
      <w:r w:rsidR="004D234E">
        <w:t xml:space="preserve">two phase construction of </w:t>
      </w:r>
      <w:r w:rsidRPr="00365C81">
        <w:t>the CP2 LNG Project.</w:t>
      </w:r>
      <w:r w:rsidRPr="00365C81">
        <w:rPr>
          <w:rStyle w:val="FootnoteReference"/>
        </w:rPr>
        <w:footnoteReference w:id="23"/>
      </w:r>
    </w:p>
    <w:p w14:paraId="08690C8A" w14:textId="77777777" w:rsidR="008D64DE" w:rsidRDefault="00AC6432" w:rsidP="005E77EB">
      <w:pPr>
        <w:pStyle w:val="Heading2"/>
      </w:pPr>
      <w:r>
        <w:t xml:space="preserve">Cumulative </w:t>
      </w:r>
      <w:r w:rsidR="008E69BA">
        <w:t xml:space="preserve">Air </w:t>
      </w:r>
      <w:r>
        <w:t>Impacts</w:t>
      </w:r>
      <w:r w:rsidR="00F71854">
        <w:t xml:space="preserve"> Analysis</w:t>
      </w:r>
    </w:p>
    <w:p w14:paraId="4112BE48" w14:textId="77777777" w:rsidR="009C7729" w:rsidRDefault="009C7729" w:rsidP="00A044CF">
      <w:pPr>
        <w:pStyle w:val="Heading3"/>
      </w:pPr>
      <w:r>
        <w:t>Methodology</w:t>
      </w:r>
    </w:p>
    <w:p w14:paraId="071ABA2F" w14:textId="77777777" w:rsidR="00C21DBB" w:rsidRDefault="00825E47" w:rsidP="002A7CB3">
      <w:pPr>
        <w:pStyle w:val="FERCparanumber"/>
      </w:pPr>
      <w:r>
        <w:t>O</w:t>
      </w:r>
      <w:r w:rsidR="005C7F93">
        <w:t>n July 28, 2023</w:t>
      </w:r>
      <w:r w:rsidR="00915210">
        <w:t xml:space="preserve">, Commission staff issued the final </w:t>
      </w:r>
      <w:r w:rsidR="00915E4B">
        <w:t>Environmental Impact Statement (EIS)</w:t>
      </w:r>
      <w:r w:rsidR="00A564FC">
        <w:t xml:space="preserve"> for the Projects</w:t>
      </w:r>
      <w:r w:rsidR="00915210">
        <w:t xml:space="preserve">.  </w:t>
      </w:r>
      <w:r w:rsidR="0056749E">
        <w:t>Relevant to this order, t</w:t>
      </w:r>
      <w:r w:rsidR="0056749E" w:rsidRPr="0056749E">
        <w:t>he final EIS addresse</w:t>
      </w:r>
      <w:r w:rsidR="0056749E">
        <w:t>d</w:t>
      </w:r>
      <w:r w:rsidR="0056749E" w:rsidRPr="0056749E">
        <w:t xml:space="preserve"> air quality</w:t>
      </w:r>
      <w:r w:rsidR="0056749E">
        <w:t xml:space="preserve"> and </w:t>
      </w:r>
      <w:r w:rsidR="0056749E" w:rsidRPr="0056749E">
        <w:t>cumulative impacts</w:t>
      </w:r>
      <w:r w:rsidR="0056749E">
        <w:t xml:space="preserve">.  </w:t>
      </w:r>
      <w:r w:rsidR="00624D74" w:rsidRPr="00624D74">
        <w:t xml:space="preserve">Under the </w:t>
      </w:r>
      <w:r w:rsidR="5A266337" w:rsidRPr="00624D74">
        <w:t>Clean Air Act (</w:t>
      </w:r>
      <w:r w:rsidR="00624D74" w:rsidRPr="00624D74">
        <w:t>CAA</w:t>
      </w:r>
      <w:r w:rsidR="7E6BFE90" w:rsidRPr="00624D74">
        <w:t>)</w:t>
      </w:r>
      <w:r w:rsidR="00624D74" w:rsidRPr="00624D74">
        <w:t xml:space="preserve">, new </w:t>
      </w:r>
      <w:r w:rsidR="00692233">
        <w:t xml:space="preserve">major </w:t>
      </w:r>
      <w:r w:rsidR="00624D74" w:rsidRPr="00624D74">
        <w:t>sources</w:t>
      </w:r>
      <w:r w:rsidR="007B5DE1">
        <w:t xml:space="preserve"> of </w:t>
      </w:r>
      <w:r w:rsidR="00D86457">
        <w:t>air emissions</w:t>
      </w:r>
      <w:r w:rsidR="00541965">
        <w:t xml:space="preserve"> in attainment areas</w:t>
      </w:r>
      <w:r w:rsidR="00D65941">
        <w:t>,</w:t>
      </w:r>
      <w:r w:rsidR="00541965">
        <w:rPr>
          <w:rStyle w:val="FootnoteReference"/>
        </w:rPr>
        <w:footnoteReference w:id="24"/>
      </w:r>
      <w:r w:rsidR="00624D74" w:rsidRPr="00624D74">
        <w:t xml:space="preserve"> such as the </w:t>
      </w:r>
      <w:r w:rsidR="005014B8">
        <w:t>CP2 LNG Project and Moss Lake Compressor Station</w:t>
      </w:r>
      <w:r w:rsidR="00D65941">
        <w:t>,</w:t>
      </w:r>
      <w:r w:rsidR="005014B8" w:rsidRPr="00624D74">
        <w:t xml:space="preserve"> </w:t>
      </w:r>
      <w:r w:rsidR="00624D74" w:rsidRPr="00624D74">
        <w:t xml:space="preserve">must </w:t>
      </w:r>
      <w:r w:rsidR="00E75364">
        <w:t xml:space="preserve">demonstrate that they </w:t>
      </w:r>
      <w:r w:rsidR="004A15E2">
        <w:t xml:space="preserve">will not cause or contribute to a violation of any applicable </w:t>
      </w:r>
      <w:r w:rsidR="00615CF5" w:rsidRPr="00615CF5">
        <w:t>National Ambient Air Quality Standards</w:t>
      </w:r>
      <w:r w:rsidR="00615CF5">
        <w:t xml:space="preserve"> (</w:t>
      </w:r>
      <w:r w:rsidR="004A15E2">
        <w:t>NAAQS</w:t>
      </w:r>
      <w:r w:rsidR="00615CF5">
        <w:t>)</w:t>
      </w:r>
      <w:r w:rsidR="00BD11AF">
        <w:t xml:space="preserve"> before obtaining a permit under the</w:t>
      </w:r>
      <w:r w:rsidR="00541965">
        <w:t xml:space="preserve"> Prevention of Significant Deterioration (PSD) program</w:t>
      </w:r>
      <w:r w:rsidR="00C629D4">
        <w:t>.</w:t>
      </w:r>
      <w:r w:rsidR="00A62401">
        <w:rPr>
          <w:rStyle w:val="FootnoteReference"/>
        </w:rPr>
        <w:footnoteReference w:id="25"/>
      </w:r>
      <w:r w:rsidR="00C629D4">
        <w:t xml:space="preserve">  </w:t>
      </w:r>
      <w:r w:rsidR="00C44659">
        <w:t>With respect to the six criteri</w:t>
      </w:r>
      <w:r w:rsidR="004B72FF">
        <w:t>a</w:t>
      </w:r>
      <w:r w:rsidR="00C44659">
        <w:t xml:space="preserve"> pollutants, the </w:t>
      </w:r>
      <w:r w:rsidR="68C8EBCA" w:rsidRPr="00624D74">
        <w:t>U.S. Environmental Protection Agency (</w:t>
      </w:r>
      <w:r w:rsidR="00624D74" w:rsidRPr="00624D74">
        <w:t>EPA</w:t>
      </w:r>
      <w:r w:rsidR="45239522" w:rsidRPr="00624D74">
        <w:t>)</w:t>
      </w:r>
      <w:r w:rsidR="00CB0A05">
        <w:t xml:space="preserve"> has developed Significant Impact Levels (SILs) as </w:t>
      </w:r>
      <w:r w:rsidR="00CF48DA">
        <w:t xml:space="preserve">a </w:t>
      </w:r>
      <w:r w:rsidR="00CB0A05">
        <w:t>tool that permitting authoritie</w:t>
      </w:r>
      <w:r w:rsidR="00456711">
        <w:t xml:space="preserve">s, </w:t>
      </w:r>
      <w:r w:rsidR="00E9517B">
        <w:t xml:space="preserve">typically state agencies, </w:t>
      </w:r>
      <w:r w:rsidR="00CB0A05">
        <w:t xml:space="preserve">may use to demonstrate that emissions from a proposed source or modification will not cause or contribute to </w:t>
      </w:r>
      <w:r w:rsidR="00F4187E">
        <w:t xml:space="preserve">air pollution in excess of the NAAQS for purposes of complying with the </w:t>
      </w:r>
      <w:r w:rsidR="005F4FC2">
        <w:t>PSD program requirements.</w:t>
      </w:r>
      <w:r w:rsidR="003B1DCC">
        <w:rPr>
          <w:rStyle w:val="FootnoteReference"/>
        </w:rPr>
        <w:footnoteReference w:id="26"/>
      </w:r>
      <w:r w:rsidR="00674FEA">
        <w:t xml:space="preserve">  </w:t>
      </w:r>
      <w:r w:rsidR="00712D0D">
        <w:t xml:space="preserve">When considering </w:t>
      </w:r>
      <w:r w:rsidR="004220D9">
        <w:t xml:space="preserve">a PSD </w:t>
      </w:r>
      <w:r w:rsidR="004220D9">
        <w:lastRenderedPageBreak/>
        <w:t>application, state permitting agenc</w:t>
      </w:r>
      <w:r w:rsidR="00592D99">
        <w:t>ies</w:t>
      </w:r>
      <w:r w:rsidR="004220D9">
        <w:t xml:space="preserve"> generally require </w:t>
      </w:r>
      <w:r w:rsidR="00C27DD0">
        <w:t xml:space="preserve">an analysis involving up to </w:t>
      </w:r>
      <w:r w:rsidR="00887261">
        <w:t xml:space="preserve">           </w:t>
      </w:r>
      <w:r w:rsidR="00C27DD0">
        <w:t>three steps</w:t>
      </w:r>
      <w:r w:rsidR="004220D9">
        <w:t xml:space="preserve"> </w:t>
      </w:r>
      <w:r w:rsidR="00D05442">
        <w:t xml:space="preserve">that uses modeled </w:t>
      </w:r>
      <w:r w:rsidR="00B46A7E">
        <w:t>project emissions in comparison to th</w:t>
      </w:r>
      <w:r w:rsidR="00F10279">
        <w:t xml:space="preserve">e SILs to determine </w:t>
      </w:r>
      <w:r w:rsidR="00203815">
        <w:t>if</w:t>
      </w:r>
      <w:r w:rsidR="00A42617">
        <w:t xml:space="preserve"> a </w:t>
      </w:r>
      <w:r w:rsidR="007A2CF1">
        <w:t>facility would not cause o</w:t>
      </w:r>
      <w:r w:rsidR="000B2C9C">
        <w:t>r</w:t>
      </w:r>
      <w:r w:rsidR="007A2CF1">
        <w:t xml:space="preserve"> contribute to any exceedances of the </w:t>
      </w:r>
      <w:r w:rsidR="00592D99">
        <w:t>NAAQS</w:t>
      </w:r>
      <w:r w:rsidR="002F2D59">
        <w:t>.</w:t>
      </w:r>
      <w:r w:rsidR="00C84CED">
        <w:rPr>
          <w:rStyle w:val="FootnoteReference"/>
        </w:rPr>
        <w:footnoteReference w:id="27"/>
      </w:r>
      <w:r w:rsidR="002F2D59">
        <w:t xml:space="preserve">  T</w:t>
      </w:r>
      <w:r w:rsidR="00592D99">
        <w:t>he Commission</w:t>
      </w:r>
      <w:r w:rsidR="004C2982">
        <w:t xml:space="preserve">, in </w:t>
      </w:r>
      <w:r w:rsidR="007B2874">
        <w:t>the</w:t>
      </w:r>
      <w:r w:rsidR="00932C6A">
        <w:t xml:space="preserve"> </w:t>
      </w:r>
      <w:r w:rsidR="00974C26">
        <w:t>2023</w:t>
      </w:r>
      <w:r w:rsidR="00FA66C7">
        <w:t xml:space="preserve"> </w:t>
      </w:r>
      <w:r w:rsidR="007B2874">
        <w:t>final EIS</w:t>
      </w:r>
      <w:r w:rsidR="00FA66C7">
        <w:t xml:space="preserve"> and </w:t>
      </w:r>
      <w:r w:rsidR="007B2874">
        <w:t>A</w:t>
      </w:r>
      <w:r w:rsidR="00696821">
        <w:t xml:space="preserve">uthorization </w:t>
      </w:r>
      <w:r w:rsidR="007B2874">
        <w:t>O</w:t>
      </w:r>
      <w:r w:rsidR="00696821">
        <w:t xml:space="preserve">rder followed </w:t>
      </w:r>
      <w:r w:rsidR="00341927">
        <w:t>this</w:t>
      </w:r>
      <w:r w:rsidR="002F2D59">
        <w:t xml:space="preserve"> three-</w:t>
      </w:r>
      <w:r w:rsidR="00341927">
        <w:t>step</w:t>
      </w:r>
      <w:r w:rsidR="00E162B9">
        <w:t xml:space="preserve"> process</w:t>
      </w:r>
      <w:r w:rsidR="00592D99">
        <w:t xml:space="preserve"> </w:t>
      </w:r>
      <w:r w:rsidR="00066C2C">
        <w:t xml:space="preserve">to analyze </w:t>
      </w:r>
      <w:r w:rsidR="00816BA1">
        <w:t>the</w:t>
      </w:r>
      <w:r w:rsidR="00B257DD">
        <w:t xml:space="preserve"> </w:t>
      </w:r>
      <w:r w:rsidR="002F7A36">
        <w:t>P</w:t>
      </w:r>
      <w:r w:rsidR="00B257DD">
        <w:t>rojects</w:t>
      </w:r>
      <w:r w:rsidR="002D5C48">
        <w:t>’</w:t>
      </w:r>
      <w:r w:rsidR="00B257DD">
        <w:t xml:space="preserve"> air </w:t>
      </w:r>
      <w:r w:rsidR="00731F48">
        <w:t xml:space="preserve">emissions </w:t>
      </w:r>
      <w:r w:rsidR="0059429F">
        <w:t xml:space="preserve">as part of </w:t>
      </w:r>
      <w:r w:rsidR="00174414">
        <w:t>it</w:t>
      </w:r>
      <w:r w:rsidR="00BF0545">
        <w:t>s</w:t>
      </w:r>
      <w:r w:rsidR="00174414">
        <w:t xml:space="preserve"> exam</w:t>
      </w:r>
      <w:r w:rsidR="00BF0545">
        <w:t>i</w:t>
      </w:r>
      <w:r w:rsidR="00174414">
        <w:t>nation of project</w:t>
      </w:r>
      <w:r w:rsidR="00BF0545">
        <w:t xml:space="preserve"> </w:t>
      </w:r>
      <w:r w:rsidR="00B257DD">
        <w:t>effects</w:t>
      </w:r>
      <w:r w:rsidR="00066C2C">
        <w:t xml:space="preserve"> under </w:t>
      </w:r>
      <w:r w:rsidR="00543FDA">
        <w:t>the National Environmental Policy Act (</w:t>
      </w:r>
      <w:r w:rsidR="00066C2C">
        <w:t>NEPA</w:t>
      </w:r>
      <w:r w:rsidR="00543FDA">
        <w:t>)</w:t>
      </w:r>
      <w:r w:rsidR="00066C2C">
        <w:t>.</w:t>
      </w:r>
      <w:r w:rsidR="00B257DD">
        <w:rPr>
          <w:rStyle w:val="FootnoteReference"/>
        </w:rPr>
        <w:footnoteReference w:id="28"/>
      </w:r>
      <w:r w:rsidR="00654010">
        <w:t xml:space="preserve">  </w:t>
      </w:r>
      <w:r w:rsidR="00472DBE">
        <w:t>The three-step analysis includes:  (1) </w:t>
      </w:r>
      <w:r w:rsidR="00021638">
        <w:t xml:space="preserve">a </w:t>
      </w:r>
      <w:r w:rsidR="00434CE4">
        <w:t>prelim</w:t>
      </w:r>
      <w:r w:rsidR="008E25F2">
        <w:t>inary screening step</w:t>
      </w:r>
      <w:r w:rsidR="00021638">
        <w:t>; (2) </w:t>
      </w:r>
      <w:r w:rsidR="00C84753">
        <w:t xml:space="preserve">if necessary, </w:t>
      </w:r>
      <w:r w:rsidR="003115DE">
        <w:t>a full cumulative impacts analysis; and (3) </w:t>
      </w:r>
      <w:r w:rsidR="00C84753">
        <w:t xml:space="preserve">if necessary, </w:t>
      </w:r>
      <w:r w:rsidR="003115DE">
        <w:t xml:space="preserve">a </w:t>
      </w:r>
      <w:r w:rsidR="003115DE" w:rsidRPr="00624D74">
        <w:t>c</w:t>
      </w:r>
      <w:r w:rsidR="003115DE">
        <w:t>ause and contribute</w:t>
      </w:r>
      <w:r w:rsidR="003115DE" w:rsidRPr="00624D74">
        <w:t xml:space="preserve"> (i.e. </w:t>
      </w:r>
      <w:r w:rsidR="00624D74" w:rsidRPr="00624D74" w:rsidDel="00704D02">
        <w:t>culpability) analysis.</w:t>
      </w:r>
      <w:r w:rsidR="00624D74" w:rsidRPr="16AAF20C">
        <w:rPr>
          <w:b/>
          <w:bCs/>
          <w:vertAlign w:val="superscript"/>
        </w:rPr>
        <w:footnoteReference w:id="29"/>
      </w:r>
      <w:r w:rsidR="00624D74">
        <w:t xml:space="preserve"> </w:t>
      </w:r>
    </w:p>
    <w:p w14:paraId="27655160" w14:textId="77777777" w:rsidR="00857675" w:rsidRDefault="00F81045" w:rsidP="00857675">
      <w:pPr>
        <w:pStyle w:val="FERCparanumber"/>
      </w:pPr>
      <w:r w:rsidRPr="00F81045">
        <w:t xml:space="preserve">Generally, </w:t>
      </w:r>
      <w:r w:rsidR="001F2CC9">
        <w:t xml:space="preserve">during </w:t>
      </w:r>
      <w:r w:rsidRPr="00F81045">
        <w:t xml:space="preserve">the </w:t>
      </w:r>
      <w:r w:rsidR="008E25F2">
        <w:t>preliminary screening step</w:t>
      </w:r>
      <w:r w:rsidRPr="00F81045">
        <w:t xml:space="preserve"> </w:t>
      </w:r>
      <w:r w:rsidR="00AF0604">
        <w:t xml:space="preserve">(i.e., step one) </w:t>
      </w:r>
      <w:r w:rsidR="001F2CC9">
        <w:t xml:space="preserve">a state </w:t>
      </w:r>
      <w:r w:rsidR="00320D08">
        <w:t xml:space="preserve">models </w:t>
      </w:r>
      <w:r w:rsidR="00960256">
        <w:t xml:space="preserve">a </w:t>
      </w:r>
      <w:r w:rsidR="00E902D2">
        <w:t xml:space="preserve">source’s potential emissions and compares </w:t>
      </w:r>
      <w:r w:rsidR="00960256">
        <w:t>the p</w:t>
      </w:r>
      <w:r w:rsidR="00F1713F">
        <w:t xml:space="preserve">roposed facility’s highest projected </w:t>
      </w:r>
      <w:r w:rsidR="00B57624">
        <w:t>ambient air quality impact</w:t>
      </w:r>
      <w:r w:rsidR="006B1C99">
        <w:t xml:space="preserve"> </w:t>
      </w:r>
      <w:r w:rsidR="001A21AF">
        <w:t xml:space="preserve">at the facility </w:t>
      </w:r>
      <w:r w:rsidR="006B1C99">
        <w:t xml:space="preserve">to </w:t>
      </w:r>
      <w:r w:rsidR="000C13D0">
        <w:t xml:space="preserve">the </w:t>
      </w:r>
      <w:r w:rsidRPr="00F81045">
        <w:t xml:space="preserve">SIL </w:t>
      </w:r>
      <w:r w:rsidR="006B1C99">
        <w:t>for</w:t>
      </w:r>
      <w:r w:rsidR="00D16BD1">
        <w:t xml:space="preserve"> each criteria pollutant </w:t>
      </w:r>
      <w:r w:rsidRPr="00F81045">
        <w:t>to determine if any such concentrations</w:t>
      </w:r>
      <w:r w:rsidR="001F2CC9">
        <w:t xml:space="preserve"> exceed</w:t>
      </w:r>
      <w:r w:rsidR="00BE6451">
        <w:t xml:space="preserve"> the SIL</w:t>
      </w:r>
      <w:r w:rsidRPr="00F81045">
        <w:t>.</w:t>
      </w:r>
      <w:r w:rsidRPr="16AAF20C">
        <w:rPr>
          <w:b/>
          <w:bCs/>
          <w:vertAlign w:val="superscript"/>
        </w:rPr>
        <w:footnoteReference w:id="30"/>
      </w:r>
      <w:r w:rsidRPr="00F81045">
        <w:t xml:space="preserve">  </w:t>
      </w:r>
      <w:r w:rsidR="00E238B4" w:rsidRPr="00AA6F25">
        <w:t xml:space="preserve">With respect to the six criteria pollutants </w:t>
      </w:r>
      <w:r w:rsidR="00E238B4" w:rsidRPr="00AA6F25">
        <w:lastRenderedPageBreak/>
        <w:t>(carbon monoxide, lead, N</w:t>
      </w:r>
      <w:r w:rsidR="00E238B4" w:rsidRPr="00BC2694">
        <w:t>O</w:t>
      </w:r>
      <w:r w:rsidR="00E238B4" w:rsidRPr="00316641">
        <w:rPr>
          <w:vertAlign w:val="subscript"/>
        </w:rPr>
        <w:t>2</w:t>
      </w:r>
      <w:r w:rsidR="00E238B4" w:rsidRPr="00AA6F25">
        <w:t>, ozone, particulate matter (PM), and sulfur dioxide), EPA has developed SILs as a tool that permitting authorities may use to demonstrate that emissions from a proposed source or modification will not “cause, or contribute to, air pollution in excess” of the NAAQS for purposes of demonstrating compliance with the PSD program requirements.</w:t>
      </w:r>
      <w:r w:rsidR="00E238B4" w:rsidRPr="00AA6F25">
        <w:rPr>
          <w:b/>
          <w:vertAlign w:val="superscript"/>
        </w:rPr>
        <w:footnoteReference w:id="31"/>
      </w:r>
      <w:r w:rsidR="00E238B4">
        <w:t xml:space="preserve">  </w:t>
      </w:r>
      <w:r w:rsidRPr="00F81045">
        <w:t xml:space="preserve">If the predicted impacts for a particular pollutant and averaging period </w:t>
      </w:r>
      <w:r w:rsidR="00C048AF">
        <w:t xml:space="preserve">(e.g., 1-hour, </w:t>
      </w:r>
      <w:r w:rsidR="004E6159">
        <w:t>8</w:t>
      </w:r>
      <w:r w:rsidR="00C048AF">
        <w:t xml:space="preserve">-hour, 24-hour, or annual) </w:t>
      </w:r>
      <w:r w:rsidRPr="00F81045">
        <w:t xml:space="preserve">are below the applicable SIL, then no further analyses </w:t>
      </w:r>
      <w:r w:rsidR="002D70C9">
        <w:t xml:space="preserve">or modeling </w:t>
      </w:r>
      <w:r w:rsidRPr="00F81045">
        <w:t>are required for that pollutant/averaging period</w:t>
      </w:r>
      <w:r w:rsidR="002B4EE4">
        <w:t xml:space="preserve"> because </w:t>
      </w:r>
      <w:r w:rsidR="00905F82" w:rsidRPr="00905F82">
        <w:t>individual contribution</w:t>
      </w:r>
      <w:r w:rsidR="00905F82">
        <w:t>s</w:t>
      </w:r>
      <w:r w:rsidR="00905F82" w:rsidRPr="00905F82">
        <w:t xml:space="preserve"> below the SIL </w:t>
      </w:r>
      <w:r w:rsidR="00765570">
        <w:t>would</w:t>
      </w:r>
      <w:r w:rsidR="00250A63">
        <w:t xml:space="preserve"> </w:t>
      </w:r>
      <w:r w:rsidR="00901A4C">
        <w:t xml:space="preserve">not </w:t>
      </w:r>
      <w:r w:rsidR="00250A63">
        <w:t>cause or contribute to an exceedance of the NAAQS</w:t>
      </w:r>
      <w:r w:rsidRPr="00F81045">
        <w:t>.</w:t>
      </w:r>
      <w:r w:rsidRPr="16AAF20C">
        <w:rPr>
          <w:b/>
          <w:bCs/>
          <w:vertAlign w:val="superscript"/>
        </w:rPr>
        <w:footnoteReference w:id="32"/>
      </w:r>
      <w:r w:rsidRPr="00F81045">
        <w:t xml:space="preserve"> </w:t>
      </w:r>
      <w:r w:rsidRPr="00F81045" w:rsidDel="00901A4C">
        <w:t xml:space="preserve"> </w:t>
      </w:r>
      <w:r w:rsidRPr="00F81045">
        <w:t>If model-predicted concentrations for a particular pollutant and averaging period are greater than the applicable SIL, a cumulative impact analysis is performed for this pollutant and averaging period</w:t>
      </w:r>
      <w:r w:rsidR="00AF0604">
        <w:t xml:space="preserve"> (i.e., step two)</w:t>
      </w:r>
      <w:r w:rsidRPr="00F81045">
        <w:t>.</w:t>
      </w:r>
      <w:r w:rsidRPr="16AAF20C">
        <w:rPr>
          <w:b/>
          <w:bCs/>
          <w:vertAlign w:val="superscript"/>
        </w:rPr>
        <w:footnoteReference w:id="33"/>
      </w:r>
      <w:r w:rsidRPr="00F81045">
        <w:t xml:space="preserve">  </w:t>
      </w:r>
      <w:r w:rsidR="001F2CC9">
        <w:t>This c</w:t>
      </w:r>
      <w:r w:rsidR="0068354B" w:rsidRPr="0068354B">
        <w:t>umulative impact analys</w:t>
      </w:r>
      <w:r w:rsidR="00AA0307">
        <w:t>i</w:t>
      </w:r>
      <w:r w:rsidR="0068354B" w:rsidRPr="0068354B">
        <w:t xml:space="preserve">s must consider emissions from existing regional sources in addition to the </w:t>
      </w:r>
      <w:r w:rsidR="00AF0604">
        <w:t>p</w:t>
      </w:r>
      <w:r w:rsidR="0068354B" w:rsidRPr="0068354B">
        <w:t>roject</w:t>
      </w:r>
      <w:r w:rsidR="005E3D48">
        <w:t>’s</w:t>
      </w:r>
      <w:r w:rsidR="0068354B" w:rsidRPr="0068354B">
        <w:t xml:space="preserve"> </w:t>
      </w:r>
      <w:r w:rsidR="000E7808">
        <w:t>modeled emissions</w:t>
      </w:r>
      <w:r w:rsidR="0068354B" w:rsidRPr="0068354B">
        <w:t>.</w:t>
      </w:r>
      <w:r w:rsidR="00673BFA">
        <w:rPr>
          <w:rStyle w:val="FootnoteReference"/>
        </w:rPr>
        <w:footnoteReference w:id="34"/>
      </w:r>
      <w:r w:rsidR="0068354B" w:rsidRPr="0068354B">
        <w:t xml:space="preserve"> </w:t>
      </w:r>
      <w:r w:rsidR="00673BFA">
        <w:t xml:space="preserve"> </w:t>
      </w:r>
      <w:r w:rsidR="0008185C">
        <w:t xml:space="preserve">Each criteria pollutant is modeled separately.  </w:t>
      </w:r>
      <w:r w:rsidR="0090066E">
        <w:t xml:space="preserve">If there </w:t>
      </w:r>
      <w:r w:rsidR="00553B1F">
        <w:t>are</w:t>
      </w:r>
      <w:r w:rsidR="0090066E">
        <w:t xml:space="preserve"> no </w:t>
      </w:r>
      <w:r w:rsidR="00FD1872">
        <w:t>predicted</w:t>
      </w:r>
      <w:r w:rsidR="0090066E">
        <w:t xml:space="preserve"> NAAQS exceedances identified</w:t>
      </w:r>
      <w:r w:rsidR="00553B1F">
        <w:t xml:space="preserve"> in the cumulative impact analysis</w:t>
      </w:r>
      <w:r w:rsidR="31B45540">
        <w:t>,</w:t>
      </w:r>
      <w:r w:rsidR="00553B1F">
        <w:t xml:space="preserve"> there is no need to proceed to the cause and contribute analysis (i.e., step three)</w:t>
      </w:r>
      <w:r w:rsidR="007D471D">
        <w:t xml:space="preserve">. </w:t>
      </w:r>
      <w:r w:rsidR="0090066E">
        <w:t xml:space="preserve"> </w:t>
      </w:r>
      <w:r w:rsidR="00726928">
        <w:t>Under the CAA, i</w:t>
      </w:r>
      <w:r w:rsidR="0068354B" w:rsidRPr="0068354B">
        <w:t xml:space="preserve">n cases where a potential NAAQS exceedance </w:t>
      </w:r>
      <w:r w:rsidR="0046318B">
        <w:t>of a cr</w:t>
      </w:r>
      <w:r w:rsidR="00247DA9">
        <w:t>iteria pollutant</w:t>
      </w:r>
      <w:r w:rsidR="0068354B" w:rsidRPr="0068354B">
        <w:t xml:space="preserve"> is identified, the modeled contribution from the </w:t>
      </w:r>
      <w:r w:rsidR="00AF0604">
        <w:t>p</w:t>
      </w:r>
      <w:r w:rsidR="0068354B" w:rsidRPr="0068354B">
        <w:t>roject is not considered to have caused or contributed to the exceedance if its own impact</w:t>
      </w:r>
      <w:r w:rsidR="000E3B03">
        <w:t xml:space="preserve"> </w:t>
      </w:r>
      <w:r w:rsidR="0068354B" w:rsidRPr="0068354B">
        <w:t>is less than the SIL at the receptor and time period of the predicted exceedance.</w:t>
      </w:r>
      <w:r w:rsidR="00673BFA">
        <w:rPr>
          <w:rStyle w:val="FootnoteReference"/>
        </w:rPr>
        <w:footnoteReference w:id="35"/>
      </w:r>
      <w:r w:rsidR="0068354B" w:rsidRPr="0068354B">
        <w:t xml:space="preserve"> </w:t>
      </w:r>
      <w:r w:rsidR="00673BFA">
        <w:t xml:space="preserve"> </w:t>
      </w:r>
      <w:r w:rsidR="00086E4A">
        <w:t xml:space="preserve"> </w:t>
      </w:r>
      <w:r w:rsidR="0068354B" w:rsidRPr="00086E4A">
        <w:t>For</w:t>
      </w:r>
      <w:r w:rsidR="0068354B" w:rsidRPr="0068354B">
        <w:t xml:space="preserve"> those cases where there is no simultaneous exceedance of the NAAQS and the SIL by the proposed </w:t>
      </w:r>
      <w:r w:rsidR="00C36443">
        <w:t>p</w:t>
      </w:r>
      <w:r w:rsidR="0068354B" w:rsidRPr="0068354B">
        <w:t xml:space="preserve">roject source, the modeling analysis is deemed </w:t>
      </w:r>
      <w:r w:rsidR="0068354B" w:rsidRPr="0068354B">
        <w:lastRenderedPageBreak/>
        <w:t>to demonstrate that the proposed source would not cause or contribute to the potential NAAQS exceedance</w:t>
      </w:r>
      <w:r w:rsidR="003C5A0D">
        <w:t xml:space="preserve"> and the state may issue the permit</w:t>
      </w:r>
      <w:r w:rsidR="0068354B" w:rsidRPr="0068354B">
        <w:t>.</w:t>
      </w:r>
      <w:r w:rsidR="00C36443">
        <w:rPr>
          <w:rStyle w:val="FootnoteReference"/>
        </w:rPr>
        <w:footnoteReference w:id="36"/>
      </w:r>
    </w:p>
    <w:p w14:paraId="74EFA178" w14:textId="77777777" w:rsidR="00FB256B" w:rsidRDefault="006F62DA" w:rsidP="00857675">
      <w:pPr>
        <w:pStyle w:val="Heading3"/>
      </w:pPr>
      <w:r>
        <w:t xml:space="preserve">Project </w:t>
      </w:r>
      <w:r w:rsidR="00FB256B">
        <w:t>Mo</w:t>
      </w:r>
      <w:r w:rsidR="00445E8B">
        <w:t>deling</w:t>
      </w:r>
      <w:r w:rsidR="00E8751C">
        <w:t xml:space="preserve">: </w:t>
      </w:r>
      <w:r w:rsidR="0045655E">
        <w:t xml:space="preserve">1-hour </w:t>
      </w:r>
      <w:r w:rsidR="00E8751C">
        <w:t>NO</w:t>
      </w:r>
      <w:r w:rsidR="00E8751C" w:rsidRPr="00751E19">
        <w:rPr>
          <w:vertAlign w:val="subscript"/>
        </w:rPr>
        <w:t>2</w:t>
      </w:r>
      <w:r w:rsidR="00E8751C">
        <w:t xml:space="preserve"> and PM</w:t>
      </w:r>
      <w:r w:rsidR="00E8751C" w:rsidRPr="00751E19">
        <w:rPr>
          <w:vertAlign w:val="subscript"/>
        </w:rPr>
        <w:t>2.5</w:t>
      </w:r>
      <w:r w:rsidR="00445E8B">
        <w:t xml:space="preserve"> </w:t>
      </w:r>
      <w:r w:rsidR="00653EA4">
        <w:t>Results</w:t>
      </w:r>
    </w:p>
    <w:p w14:paraId="28127161" w14:textId="77777777" w:rsidR="002E36CB" w:rsidRDefault="00A51AFA" w:rsidP="002A7CB3">
      <w:pPr>
        <w:pStyle w:val="FERCparanumber"/>
      </w:pPr>
      <w:r w:rsidRPr="00A51AFA">
        <w:t>The cumulative air dispersion modeling in the final EIS was conducted in accordance with EPA’s 40 C</w:t>
      </w:r>
      <w:r w:rsidR="00F91D03">
        <w:t>.</w:t>
      </w:r>
      <w:r w:rsidRPr="00A51AFA">
        <w:t>F</w:t>
      </w:r>
      <w:r w:rsidR="00F91D03">
        <w:t>.</w:t>
      </w:r>
      <w:r w:rsidRPr="00A51AFA">
        <w:t>R</w:t>
      </w:r>
      <w:r w:rsidR="00F91D03">
        <w:t>.</w:t>
      </w:r>
      <w:r w:rsidRPr="00A51AFA">
        <w:t xml:space="preserve"> Part 51, Appendix W.</w:t>
      </w:r>
      <w:r w:rsidRPr="16AAF20C">
        <w:rPr>
          <w:b/>
          <w:bCs/>
          <w:vertAlign w:val="superscript"/>
        </w:rPr>
        <w:footnoteReference w:id="37"/>
      </w:r>
      <w:r w:rsidRPr="00A51AFA">
        <w:t xml:space="preserve">  </w:t>
      </w:r>
      <w:r w:rsidR="001526B0">
        <w:t>Venture Global</w:t>
      </w:r>
      <w:r w:rsidRPr="00A51AFA">
        <w:t xml:space="preserve"> conducted cumulative impact </w:t>
      </w:r>
      <w:r w:rsidR="00804E91" w:rsidRPr="00A51AFA">
        <w:t>analys</w:t>
      </w:r>
      <w:r w:rsidR="00804E91">
        <w:t>es</w:t>
      </w:r>
      <w:r w:rsidRPr="00A51AFA">
        <w:t xml:space="preserve"> for the </w:t>
      </w:r>
      <w:r w:rsidR="007D039A">
        <w:t>CP2 LNG Project and Moss Lake Compressor Station</w:t>
      </w:r>
      <w:r w:rsidR="007D039A" w:rsidRPr="00A51AFA">
        <w:t xml:space="preserve"> </w:t>
      </w:r>
      <w:r w:rsidRPr="00A51AFA">
        <w:t>for each pollutant that exceeded the SIL</w:t>
      </w:r>
      <w:r w:rsidR="00107204">
        <w:t xml:space="preserve"> </w:t>
      </w:r>
      <w:r w:rsidR="60B1F51E">
        <w:t xml:space="preserve">for </w:t>
      </w:r>
      <w:r w:rsidR="00107204">
        <w:t>the averaging period</w:t>
      </w:r>
      <w:r w:rsidR="001F2CC9">
        <w:t xml:space="preserve"> during step one</w:t>
      </w:r>
      <w:r w:rsidRPr="00A51AFA">
        <w:t xml:space="preserve">.  </w:t>
      </w:r>
      <w:r w:rsidR="007B0E3A">
        <w:t>T</w:t>
      </w:r>
      <w:r w:rsidR="00715F1E" w:rsidRPr="00715F1E">
        <w:t>he results from the cumulative impact analys</w:t>
      </w:r>
      <w:r w:rsidR="009B69E2">
        <w:t>e</w:t>
      </w:r>
      <w:r w:rsidR="00715F1E" w:rsidRPr="00715F1E">
        <w:t>s showed NAAQS exceedances for the 1-hour NO</w:t>
      </w:r>
      <w:r w:rsidR="00715F1E" w:rsidRPr="00715F1E">
        <w:rPr>
          <w:vertAlign w:val="subscript"/>
        </w:rPr>
        <w:t>2</w:t>
      </w:r>
      <w:r w:rsidR="00A1294D">
        <w:t xml:space="preserve"> </w:t>
      </w:r>
      <w:r w:rsidR="00715F1E" w:rsidRPr="00715F1E">
        <w:t>NAAQS.</w:t>
      </w:r>
      <w:r w:rsidR="00715F1E" w:rsidRPr="16AAF20C">
        <w:rPr>
          <w:b/>
          <w:bCs/>
          <w:vertAlign w:val="superscript"/>
        </w:rPr>
        <w:footnoteReference w:id="38"/>
      </w:r>
      <w:r w:rsidR="00715F1E" w:rsidRPr="00715F1E">
        <w:t xml:space="preserve">  </w:t>
      </w:r>
      <w:r w:rsidR="00C36443">
        <w:t>Venture Global</w:t>
      </w:r>
      <w:r w:rsidR="00715F1E" w:rsidRPr="00715F1E">
        <w:t xml:space="preserve"> conducted a </w:t>
      </w:r>
      <w:r w:rsidR="00C04DD6">
        <w:t xml:space="preserve">cause and contribute </w:t>
      </w:r>
      <w:r w:rsidR="00715F1E" w:rsidRPr="00715F1E">
        <w:t xml:space="preserve">analysis </w:t>
      </w:r>
      <w:r w:rsidR="00FE1B26">
        <w:t xml:space="preserve">(i.e., step three) </w:t>
      </w:r>
      <w:r w:rsidR="00715F1E" w:rsidRPr="00715F1E">
        <w:t xml:space="preserve">to determine if and to what extent the </w:t>
      </w:r>
      <w:r w:rsidR="00FE1B26">
        <w:t>CP2 LNG Project and Moss Lake Compressor Station</w:t>
      </w:r>
      <w:r w:rsidR="00FE1B26" w:rsidRPr="00715F1E">
        <w:t xml:space="preserve"> </w:t>
      </w:r>
      <w:r w:rsidR="00715F1E" w:rsidRPr="00715F1E">
        <w:t>emission sources contributed to the exceedance of the 1-hour NO</w:t>
      </w:r>
      <w:r w:rsidR="00715F1E" w:rsidRPr="00715F1E">
        <w:rPr>
          <w:vertAlign w:val="subscript"/>
        </w:rPr>
        <w:t>2</w:t>
      </w:r>
      <w:r w:rsidR="00715F1E" w:rsidRPr="00715F1E">
        <w:t xml:space="preserve"> NAAQS.</w:t>
      </w:r>
      <w:r w:rsidR="00715F1E" w:rsidRPr="16AAF20C">
        <w:rPr>
          <w:b/>
          <w:bCs/>
          <w:vertAlign w:val="superscript"/>
        </w:rPr>
        <w:footnoteReference w:id="39"/>
      </w:r>
      <w:r w:rsidR="00715F1E" w:rsidRPr="00715F1E">
        <w:t xml:space="preserve">  The analysis showed that the contribution by the </w:t>
      </w:r>
      <w:r w:rsidR="002529DD">
        <w:t>CP2 LNG Project and Moss Lake Compressor Station</w:t>
      </w:r>
      <w:r w:rsidR="002529DD" w:rsidRPr="00715F1E">
        <w:t xml:space="preserve"> </w:t>
      </w:r>
      <w:r w:rsidR="00715F1E" w:rsidRPr="00715F1E">
        <w:t xml:space="preserve">to each exceedance concentration at the same </w:t>
      </w:r>
      <w:r w:rsidR="00415A34" w:rsidRPr="00415A34">
        <w:t xml:space="preserve">receptor and time period </w:t>
      </w:r>
      <w:r w:rsidR="00715F1E" w:rsidRPr="00715F1E">
        <w:t xml:space="preserve">was less than the EPA-designated SIL of 7.5 </w:t>
      </w:r>
      <w:r w:rsidR="0071381E">
        <w:t>micrograms per cubic meter (</w:t>
      </w:r>
      <w:r w:rsidR="00715F1E" w:rsidRPr="00715F1E">
        <w:t>μg/m</w:t>
      </w:r>
      <w:r w:rsidR="00715F1E" w:rsidRPr="00715F1E">
        <w:rPr>
          <w:vertAlign w:val="superscript"/>
        </w:rPr>
        <w:t>3</w:t>
      </w:r>
      <w:r w:rsidR="00715F1E" w:rsidRPr="00715F1E">
        <w:t>)</w:t>
      </w:r>
      <w:r w:rsidR="00191A6B">
        <w:t>, and thus</w:t>
      </w:r>
      <w:r w:rsidR="00510401">
        <w:t>,</w:t>
      </w:r>
      <w:r w:rsidR="00191A6B">
        <w:t xml:space="preserve"> under the </w:t>
      </w:r>
      <w:r w:rsidR="007B788E">
        <w:t>step 3 cause and contri</w:t>
      </w:r>
      <w:r w:rsidR="00C27D0F">
        <w:t>bute analysis</w:t>
      </w:r>
      <w:r w:rsidR="00917EE2">
        <w:t xml:space="preserve">, </w:t>
      </w:r>
      <w:r w:rsidR="00037C5A">
        <w:t xml:space="preserve">concluded that </w:t>
      </w:r>
      <w:r w:rsidR="00917EE2" w:rsidRPr="00917EE2">
        <w:t>th</w:t>
      </w:r>
      <w:r w:rsidR="00DF2B32">
        <w:t>e</w:t>
      </w:r>
      <w:r w:rsidR="00917EE2" w:rsidRPr="00917EE2">
        <w:t xml:space="preserve"> exceedance</w:t>
      </w:r>
      <w:r w:rsidR="00DF2B32">
        <w:t>s</w:t>
      </w:r>
      <w:r w:rsidR="00917EE2" w:rsidRPr="00917EE2">
        <w:t xml:space="preserve"> would occur even in the absence of the </w:t>
      </w:r>
      <w:r w:rsidR="00842D33">
        <w:t>P</w:t>
      </w:r>
      <w:r w:rsidR="00917EE2" w:rsidRPr="00917EE2">
        <w:t>rojects’ emissions</w:t>
      </w:r>
      <w:r w:rsidR="00715F1E" w:rsidRPr="00715F1E">
        <w:t>.</w:t>
      </w:r>
      <w:r w:rsidR="00715F1E" w:rsidRPr="16AAF20C">
        <w:rPr>
          <w:b/>
          <w:bCs/>
          <w:vertAlign w:val="superscript"/>
        </w:rPr>
        <w:footnoteReference w:id="40"/>
      </w:r>
      <w:r w:rsidR="00715F1E" w:rsidRPr="00715F1E">
        <w:t xml:space="preserve">  </w:t>
      </w:r>
    </w:p>
    <w:p w14:paraId="66946895" w14:textId="77777777" w:rsidR="007D3376" w:rsidRDefault="00A367B2" w:rsidP="009730FB">
      <w:pPr>
        <w:pStyle w:val="FERCparanumber"/>
      </w:pPr>
      <w:r>
        <w:t>Additionally, t</w:t>
      </w:r>
      <w:r w:rsidR="00EF6682" w:rsidRPr="00EF6682">
        <w:t>he Moss Lake Compressor Station showed a NAAQS exceedance for 24-hour PM</w:t>
      </w:r>
      <w:r w:rsidR="00EF6682" w:rsidRPr="00EF6682">
        <w:rPr>
          <w:vertAlign w:val="subscript"/>
        </w:rPr>
        <w:t>2.5</w:t>
      </w:r>
      <w:r w:rsidR="00E223E0">
        <w:rPr>
          <w:vertAlign w:val="subscript"/>
        </w:rPr>
        <w:t xml:space="preserve"> </w:t>
      </w:r>
      <w:r w:rsidR="00EF6682" w:rsidRPr="00EF6682">
        <w:t>for which a c</w:t>
      </w:r>
      <w:r w:rsidR="0083331E">
        <w:t>ause and contribute</w:t>
      </w:r>
      <w:r w:rsidR="00EF6682" w:rsidRPr="00EF6682">
        <w:t xml:space="preserve"> analysis </w:t>
      </w:r>
      <w:r w:rsidR="0085755B">
        <w:t xml:space="preserve">(i.e., step three) </w:t>
      </w:r>
      <w:r w:rsidR="00951FA1">
        <w:t>was performed</w:t>
      </w:r>
      <w:r w:rsidR="004A75EF">
        <w:t>.</w:t>
      </w:r>
      <w:r w:rsidR="00951FA1">
        <w:t xml:space="preserve"> </w:t>
      </w:r>
      <w:r w:rsidR="007F62AB">
        <w:t xml:space="preserve"> </w:t>
      </w:r>
      <w:r w:rsidR="004A75EF">
        <w:t>T</w:t>
      </w:r>
      <w:r w:rsidR="00E709A8">
        <w:t xml:space="preserve">hat analysis </w:t>
      </w:r>
      <w:r w:rsidR="007B69A1">
        <w:t xml:space="preserve">showed that </w:t>
      </w:r>
      <w:r w:rsidR="007B69A1" w:rsidRPr="007B69A1">
        <w:t xml:space="preserve">the contribution by the Moss Lake Compressor Station to </w:t>
      </w:r>
      <w:r w:rsidR="007B69A1">
        <w:t xml:space="preserve">this </w:t>
      </w:r>
      <w:r w:rsidR="007B69A1" w:rsidRPr="007B69A1">
        <w:t xml:space="preserve">exceedance concentration at the same </w:t>
      </w:r>
      <w:r w:rsidR="00EE3FBD" w:rsidRPr="00EE3FBD">
        <w:t xml:space="preserve">receptor and time period </w:t>
      </w:r>
      <w:r w:rsidR="001F2CC9">
        <w:t xml:space="preserve">fell below </w:t>
      </w:r>
      <w:r w:rsidR="004D7B10">
        <w:t>the SIL</w:t>
      </w:r>
      <w:r w:rsidR="00EF6682" w:rsidRPr="00EF6682">
        <w:t>.</w:t>
      </w:r>
      <w:r w:rsidR="00EF6682">
        <w:rPr>
          <w:rStyle w:val="FootnoteReference"/>
        </w:rPr>
        <w:footnoteReference w:id="41"/>
      </w:r>
      <w:r w:rsidR="00EF6682" w:rsidRPr="00EF6682">
        <w:t xml:space="preserve">  </w:t>
      </w:r>
      <w:r w:rsidR="0084671E">
        <w:t>Venture Global further determined that</w:t>
      </w:r>
      <w:r w:rsidR="001F6FAE">
        <w:t xml:space="preserve"> although</w:t>
      </w:r>
      <w:r w:rsidR="0084671E">
        <w:t xml:space="preserve"> </w:t>
      </w:r>
      <w:r w:rsidR="00640465">
        <w:t xml:space="preserve">the </w:t>
      </w:r>
      <w:r w:rsidR="00640465" w:rsidRPr="00640465">
        <w:t>model-predicted maximum 24-h</w:t>
      </w:r>
      <w:r w:rsidR="00640465">
        <w:t>our</w:t>
      </w:r>
      <w:r w:rsidR="00640465" w:rsidRPr="00640465">
        <w:t xml:space="preserve"> PM</w:t>
      </w:r>
      <w:r w:rsidR="00640465" w:rsidRPr="005E77EB">
        <w:rPr>
          <w:vertAlign w:val="subscript"/>
        </w:rPr>
        <w:t>2.5</w:t>
      </w:r>
      <w:r w:rsidR="00640465" w:rsidRPr="00640465">
        <w:t xml:space="preserve"> increment concentration </w:t>
      </w:r>
      <w:r w:rsidR="00640465">
        <w:t xml:space="preserve">for the Moss Lake Compressor Station </w:t>
      </w:r>
      <w:r w:rsidR="00640465" w:rsidRPr="00640465">
        <w:t>exceeded the PSD Class II increment</w:t>
      </w:r>
      <w:r w:rsidR="00FC27C8">
        <w:rPr>
          <w:rStyle w:val="FootnoteReference"/>
        </w:rPr>
        <w:footnoteReference w:id="42"/>
      </w:r>
      <w:r w:rsidR="00640465">
        <w:t xml:space="preserve"> </w:t>
      </w:r>
      <w:r w:rsidR="00F87CA6">
        <w:t>at the facility,</w:t>
      </w:r>
      <w:r w:rsidR="00640465">
        <w:t xml:space="preserve"> a cause and contribute analysis </w:t>
      </w:r>
      <w:r w:rsidR="001F6FAE">
        <w:lastRenderedPageBreak/>
        <w:t xml:space="preserve">showed that the </w:t>
      </w:r>
      <w:r w:rsidR="00FC3743" w:rsidRPr="00FC3743">
        <w:t xml:space="preserve">contribution by the </w:t>
      </w:r>
      <w:r w:rsidR="00FC3743">
        <w:t>Moss Lake Compressor Station</w:t>
      </w:r>
      <w:r w:rsidR="00FC3743" w:rsidRPr="00FC3743">
        <w:t xml:space="preserve"> to each exceedance at the same </w:t>
      </w:r>
      <w:r w:rsidR="00EE3FBD" w:rsidRPr="00EE3FBD">
        <w:t xml:space="preserve">receptor and time period </w:t>
      </w:r>
      <w:r w:rsidR="00FC3743">
        <w:t>was</w:t>
      </w:r>
      <w:r w:rsidR="00FC3743" w:rsidRPr="00FC3743">
        <w:t xml:space="preserve"> less than the EPA-designated PSD Class II SIL of 1.2 μg/m</w:t>
      </w:r>
      <w:r w:rsidR="00FC3743" w:rsidRPr="005E77EB">
        <w:rPr>
          <w:vertAlign w:val="superscript"/>
        </w:rPr>
        <w:t>3</w:t>
      </w:r>
      <w:r w:rsidR="00FC3743" w:rsidRPr="00FC3743">
        <w:t xml:space="preserve"> for the 24-h</w:t>
      </w:r>
      <w:r w:rsidR="00FC3743">
        <w:t>our</w:t>
      </w:r>
      <w:r w:rsidR="00FC3743" w:rsidRPr="00FC3743">
        <w:t xml:space="preserve"> PM</w:t>
      </w:r>
      <w:r w:rsidR="00FC3743" w:rsidRPr="005E77EB">
        <w:rPr>
          <w:vertAlign w:val="subscript"/>
        </w:rPr>
        <w:t>2.5</w:t>
      </w:r>
      <w:r w:rsidR="00FC3743" w:rsidRPr="00FC3743">
        <w:t xml:space="preserve"> concentrations.</w:t>
      </w:r>
      <w:r w:rsidR="004421BA" w:rsidRPr="16AAF20C">
        <w:rPr>
          <w:b/>
          <w:bCs/>
          <w:vertAlign w:val="superscript"/>
        </w:rPr>
        <w:footnoteReference w:id="43"/>
      </w:r>
      <w:r w:rsidR="000C7B2F">
        <w:t xml:space="preserve">  Therefore, Commission staff determined that the Moss Lake Compressor Station did not cause or contribute to these exceedances.</w:t>
      </w:r>
      <w:r w:rsidR="004421BA">
        <w:t xml:space="preserve">  </w:t>
      </w:r>
    </w:p>
    <w:p w14:paraId="667D0DDE" w14:textId="77777777" w:rsidR="004A578F" w:rsidRDefault="004A578F" w:rsidP="009730FB">
      <w:pPr>
        <w:pStyle w:val="FERCparanumber"/>
      </w:pPr>
      <w:r>
        <w:t xml:space="preserve">Last, </w:t>
      </w:r>
      <w:r w:rsidR="002E61CD">
        <w:t xml:space="preserve">with respect to </w:t>
      </w:r>
      <w:r w:rsidR="002E61CD" w:rsidRPr="00B97446">
        <w:t>annual PM</w:t>
      </w:r>
      <w:r w:rsidR="002E61CD" w:rsidRPr="00B97446">
        <w:rPr>
          <w:vertAlign w:val="subscript"/>
        </w:rPr>
        <w:t>2.5</w:t>
      </w:r>
      <w:r w:rsidR="00AB2BF6">
        <w:t xml:space="preserve">, </w:t>
      </w:r>
      <w:r w:rsidR="00E151EB">
        <w:t xml:space="preserve">the </w:t>
      </w:r>
      <w:r w:rsidR="00130747">
        <w:t xml:space="preserve">results of the </w:t>
      </w:r>
      <w:r w:rsidR="00497C86">
        <w:t xml:space="preserve">step 2 </w:t>
      </w:r>
      <w:r w:rsidR="009937DF" w:rsidRPr="00B97446">
        <w:t>cumulative air modeling</w:t>
      </w:r>
      <w:r w:rsidR="00934CE8">
        <w:t xml:space="preserve"> for </w:t>
      </w:r>
      <w:r w:rsidR="009937DF" w:rsidRPr="00B97446">
        <w:t>CP2 LNG</w:t>
      </w:r>
      <w:r w:rsidR="00934CE8">
        <w:t xml:space="preserve"> showed </w:t>
      </w:r>
      <w:r w:rsidR="00A90AAC">
        <w:t xml:space="preserve">a concentration of </w:t>
      </w:r>
      <w:r w:rsidR="009937DF" w:rsidRPr="00B97446">
        <w:t>9.4 µg/m</w:t>
      </w:r>
      <w:r w:rsidR="009937DF" w:rsidRPr="00B97446">
        <w:rPr>
          <w:vertAlign w:val="superscript"/>
        </w:rPr>
        <w:t>3</w:t>
      </w:r>
      <w:r w:rsidR="00E93E78" w:rsidRPr="008C0368">
        <w:t>,</w:t>
      </w:r>
      <w:r w:rsidR="009937DF" w:rsidRPr="00B97446">
        <w:t xml:space="preserve"> which was below the NAAQS threshold of 12.0 µg/m</w:t>
      </w:r>
      <w:r w:rsidR="009937DF" w:rsidRPr="00B97446">
        <w:rPr>
          <w:vertAlign w:val="superscript"/>
        </w:rPr>
        <w:t>3</w:t>
      </w:r>
      <w:r w:rsidR="009937DF" w:rsidRPr="00B97446">
        <w:t>.</w:t>
      </w:r>
      <w:r w:rsidR="009937DF">
        <w:rPr>
          <w:rStyle w:val="FootnoteReference"/>
        </w:rPr>
        <w:footnoteReference w:id="44"/>
      </w:r>
      <w:r w:rsidR="009937DF" w:rsidRPr="00B97446">
        <w:t xml:space="preserve"> </w:t>
      </w:r>
      <w:r w:rsidR="00B070C8">
        <w:t xml:space="preserve"> Because there were </w:t>
      </w:r>
      <w:r w:rsidR="008A0C54" w:rsidRPr="00B97446">
        <w:t>no NAAQS exceedances for annual PM</w:t>
      </w:r>
      <w:r w:rsidR="008A0C54" w:rsidRPr="00B97446">
        <w:rPr>
          <w:vertAlign w:val="subscript"/>
        </w:rPr>
        <w:t>2.5</w:t>
      </w:r>
      <w:r w:rsidR="00B070C8">
        <w:t xml:space="preserve">, staff </w:t>
      </w:r>
      <w:r w:rsidR="007416EB">
        <w:t xml:space="preserve">was able to </w:t>
      </w:r>
      <w:r w:rsidR="001E4FFE">
        <w:t xml:space="preserve">conclude in the </w:t>
      </w:r>
      <w:r w:rsidR="00E632DC">
        <w:t xml:space="preserve">final </w:t>
      </w:r>
      <w:r w:rsidR="001E4FFE">
        <w:t>EIS that the</w:t>
      </w:r>
      <w:r w:rsidR="00A423EE">
        <w:t xml:space="preserve">re would be no significant impact </w:t>
      </w:r>
      <w:r w:rsidR="007416EB">
        <w:t xml:space="preserve">without </w:t>
      </w:r>
      <w:r w:rsidR="001E4FFE">
        <w:t>mov</w:t>
      </w:r>
      <w:r w:rsidR="007416EB">
        <w:t>ing</w:t>
      </w:r>
      <w:r w:rsidR="001E4FFE">
        <w:t xml:space="preserve"> to the step </w:t>
      </w:r>
      <w:r w:rsidR="00D51E09" w:rsidRPr="00D51E09">
        <w:t>3</w:t>
      </w:r>
      <w:r w:rsidR="001E4FFE">
        <w:t xml:space="preserve"> </w:t>
      </w:r>
      <w:r w:rsidR="00D51E09" w:rsidRPr="00D51E09">
        <w:t>cause and contribute analysis</w:t>
      </w:r>
      <w:r w:rsidR="007416EB">
        <w:t>.</w:t>
      </w:r>
    </w:p>
    <w:p w14:paraId="6689F382" w14:textId="77777777" w:rsidR="009C1703" w:rsidRPr="009C1703" w:rsidRDefault="009C1703" w:rsidP="009C1703">
      <w:pPr>
        <w:pStyle w:val="Heading2"/>
      </w:pPr>
      <w:r>
        <w:t>Subsequent Air Modeling</w:t>
      </w:r>
      <w:r w:rsidR="00DC2D4B">
        <w:t xml:space="preserve"> for Annual</w:t>
      </w:r>
      <w:r w:rsidR="00DC2D4B" w:rsidRPr="003A2999">
        <w:t xml:space="preserve"> PM</w:t>
      </w:r>
      <w:r w:rsidR="00DC2D4B" w:rsidRPr="003A2999">
        <w:rPr>
          <w:vertAlign w:val="subscript"/>
        </w:rPr>
        <w:t>2.5</w:t>
      </w:r>
      <w:r w:rsidR="005F70F9">
        <w:t xml:space="preserve"> and </w:t>
      </w:r>
      <w:r w:rsidR="009B0DB6">
        <w:t>NO</w:t>
      </w:r>
      <w:r w:rsidR="009B0DB6" w:rsidRPr="008C0368">
        <w:rPr>
          <w:vertAlign w:val="subscript"/>
        </w:rPr>
        <w:t>2</w:t>
      </w:r>
    </w:p>
    <w:p w14:paraId="554FB7B7" w14:textId="77777777" w:rsidR="00305B70" w:rsidRDefault="007E2B6F" w:rsidP="002A7CB3">
      <w:pPr>
        <w:pStyle w:val="FERCparanumber"/>
      </w:pPr>
      <w:r>
        <w:t xml:space="preserve">On </w:t>
      </w:r>
      <w:r w:rsidR="00DF7A08">
        <w:t>March 6, 2024</w:t>
      </w:r>
      <w:r w:rsidR="001156ED">
        <w:t xml:space="preserve">, </w:t>
      </w:r>
      <w:r w:rsidR="001F2CC9">
        <w:t>after</w:t>
      </w:r>
      <w:r w:rsidR="00305B70">
        <w:t xml:space="preserve"> the issuance of the </w:t>
      </w:r>
      <w:r w:rsidR="001E74AC">
        <w:t xml:space="preserve">final EIS, </w:t>
      </w:r>
      <w:r w:rsidR="003A2999">
        <w:t xml:space="preserve">EPA </w:t>
      </w:r>
      <w:r w:rsidR="003A2999" w:rsidRPr="003A2999">
        <w:t xml:space="preserve">revised the </w:t>
      </w:r>
      <w:r w:rsidR="003F0DA9">
        <w:t>primary annual</w:t>
      </w:r>
      <w:r w:rsidR="003A2999" w:rsidRPr="003A2999">
        <w:t xml:space="preserve"> PM</w:t>
      </w:r>
      <w:r w:rsidR="003A2999" w:rsidRPr="003A2999">
        <w:rPr>
          <w:vertAlign w:val="subscript"/>
        </w:rPr>
        <w:t>2.5</w:t>
      </w:r>
      <w:r w:rsidR="003F0DA9">
        <w:t xml:space="preserve"> NAAQS standard</w:t>
      </w:r>
      <w:r w:rsidR="003A2999" w:rsidRPr="003A2999">
        <w:t xml:space="preserve"> from 12.0 µg/m</w:t>
      </w:r>
      <w:r w:rsidR="003A2999" w:rsidRPr="003A2999">
        <w:rPr>
          <w:vertAlign w:val="superscript"/>
        </w:rPr>
        <w:t>3</w:t>
      </w:r>
      <w:r w:rsidR="003A2999" w:rsidRPr="003A2999">
        <w:t xml:space="preserve"> to 9.0 µg/m</w:t>
      </w:r>
      <w:r w:rsidR="003A2999" w:rsidRPr="003A2999">
        <w:rPr>
          <w:vertAlign w:val="superscript"/>
        </w:rPr>
        <w:t>3</w:t>
      </w:r>
      <w:r w:rsidR="003A2999" w:rsidRPr="003A2999">
        <w:t>.</w:t>
      </w:r>
      <w:r w:rsidR="003A2999" w:rsidRPr="003A2999">
        <w:rPr>
          <w:b/>
          <w:vertAlign w:val="superscript"/>
        </w:rPr>
        <w:footnoteReference w:id="45"/>
      </w:r>
      <w:r w:rsidR="003A2999" w:rsidRPr="003A2999">
        <w:t xml:space="preserve">  </w:t>
      </w:r>
      <w:r w:rsidR="009D6739">
        <w:t xml:space="preserve">Because </w:t>
      </w:r>
      <w:r w:rsidR="00412906">
        <w:t>EPA</w:t>
      </w:r>
      <w:r w:rsidR="00080E64">
        <w:t xml:space="preserve"> lowered the</w:t>
      </w:r>
      <w:r w:rsidR="00B97446" w:rsidRPr="00B97446">
        <w:t xml:space="preserve"> </w:t>
      </w:r>
      <w:r w:rsidR="00BF5AB4">
        <w:t xml:space="preserve">annual </w:t>
      </w:r>
      <w:r w:rsidR="00BF5AB4" w:rsidRPr="00B97446">
        <w:t>PM</w:t>
      </w:r>
      <w:r w:rsidR="00BF5AB4" w:rsidRPr="00B97446">
        <w:rPr>
          <w:vertAlign w:val="subscript"/>
        </w:rPr>
        <w:t>2.5</w:t>
      </w:r>
      <w:r w:rsidR="00BF5AB4" w:rsidRPr="00B97446">
        <w:t xml:space="preserve"> </w:t>
      </w:r>
      <w:r w:rsidR="00DC41EF">
        <w:t>NAAQS</w:t>
      </w:r>
      <w:r w:rsidR="00BF5AB4">
        <w:t xml:space="preserve"> </w:t>
      </w:r>
      <w:r w:rsidR="00B97446" w:rsidRPr="00B97446">
        <w:t xml:space="preserve">standard </w:t>
      </w:r>
      <w:r w:rsidR="00080E64">
        <w:t>to</w:t>
      </w:r>
      <w:r w:rsidR="00B97446" w:rsidRPr="00B97446">
        <w:t xml:space="preserve"> 9.0 µg/m</w:t>
      </w:r>
      <w:r w:rsidR="00B97446" w:rsidRPr="00B97446">
        <w:rPr>
          <w:vertAlign w:val="superscript"/>
        </w:rPr>
        <w:t>3</w:t>
      </w:r>
      <w:r w:rsidR="004C7C1A" w:rsidRPr="004C7C1A">
        <w:t xml:space="preserve">, Commission staff issued </w:t>
      </w:r>
      <w:r w:rsidR="005D728B">
        <w:t>a</w:t>
      </w:r>
      <w:r w:rsidR="008378D3">
        <w:t xml:space="preserve"> data request </w:t>
      </w:r>
      <w:r w:rsidR="00636FD8">
        <w:t xml:space="preserve">to </w:t>
      </w:r>
      <w:r w:rsidR="004C7C1A">
        <w:t xml:space="preserve">Venture Global </w:t>
      </w:r>
      <w:r w:rsidR="005F1455">
        <w:t>requiring</w:t>
      </w:r>
      <w:r w:rsidR="00D25BF2">
        <w:t xml:space="preserve"> updated </w:t>
      </w:r>
      <w:r w:rsidR="00765D45">
        <w:t>air modeling</w:t>
      </w:r>
      <w:r w:rsidR="006E191D">
        <w:t>.</w:t>
      </w:r>
      <w:r w:rsidR="004C7C1A" w:rsidRPr="004C7C1A">
        <w:rPr>
          <w:b/>
          <w:vertAlign w:val="superscript"/>
        </w:rPr>
        <w:footnoteReference w:id="46"/>
      </w:r>
      <w:r w:rsidR="00B72E97">
        <w:t xml:space="preserve">  </w:t>
      </w:r>
      <w:r w:rsidR="00B72E97" w:rsidRPr="00B72E97">
        <w:t xml:space="preserve">On April 4, 2024, </w:t>
      </w:r>
      <w:r w:rsidR="002B2A68">
        <w:t>Venture Global</w:t>
      </w:r>
      <w:r w:rsidR="00B72E97" w:rsidRPr="00B72E97">
        <w:t xml:space="preserve"> </w:t>
      </w:r>
      <w:r w:rsidR="008F2641">
        <w:t xml:space="preserve">provided updated cumulative air modeling for </w:t>
      </w:r>
      <w:r w:rsidR="00E359B6">
        <w:t>PM</w:t>
      </w:r>
      <w:r w:rsidR="00E359B6" w:rsidRPr="00E359B6">
        <w:rPr>
          <w:vertAlign w:val="subscript"/>
        </w:rPr>
        <w:t>2.5</w:t>
      </w:r>
      <w:r w:rsidR="00B72E97" w:rsidRPr="00B72E97">
        <w:t>, but changed the monitoring station from</w:t>
      </w:r>
      <w:r w:rsidR="00613940">
        <w:t xml:space="preserve"> the </w:t>
      </w:r>
      <w:r w:rsidR="00F2329F">
        <w:t>West Orange</w:t>
      </w:r>
      <w:r w:rsidR="00765D45">
        <w:t xml:space="preserve"> </w:t>
      </w:r>
      <w:r w:rsidR="00F2329F">
        <w:t>Monitoring Station</w:t>
      </w:r>
      <w:r w:rsidR="00B72E97" w:rsidRPr="00B72E97">
        <w:t xml:space="preserve"> to the Vinton, Louisiana monitoring station</w:t>
      </w:r>
      <w:r w:rsidR="00F83D24">
        <w:t xml:space="preserve"> (Vinton Monitoring Station)</w:t>
      </w:r>
      <w:r w:rsidR="00B72E97" w:rsidRPr="00B72E97">
        <w:t>.</w:t>
      </w:r>
      <w:r w:rsidR="00B72E97" w:rsidRPr="00B72E97">
        <w:rPr>
          <w:b/>
          <w:vertAlign w:val="superscript"/>
        </w:rPr>
        <w:footnoteReference w:id="47"/>
      </w:r>
      <w:r w:rsidR="00B72E97" w:rsidRPr="00B72E97">
        <w:t xml:space="preserve">  According to </w:t>
      </w:r>
      <w:r w:rsidR="00F83D24">
        <w:t>Venture Global</w:t>
      </w:r>
      <w:r w:rsidR="00B72E97" w:rsidRPr="00B72E97">
        <w:t xml:space="preserve">, it used the Vinton </w:t>
      </w:r>
      <w:r w:rsidR="00765D45">
        <w:t>Monitoring Station</w:t>
      </w:r>
      <w:r w:rsidR="00B72E97" w:rsidRPr="00B72E97">
        <w:t xml:space="preserve"> because </w:t>
      </w:r>
      <w:r w:rsidR="00765D45">
        <w:t xml:space="preserve">it </w:t>
      </w:r>
      <w:r w:rsidR="0039739B">
        <w:t>was</w:t>
      </w:r>
      <w:r w:rsidR="00B72E97" w:rsidRPr="00B72E97">
        <w:t xml:space="preserve"> more representative of background PM</w:t>
      </w:r>
      <w:r w:rsidR="00B72E97" w:rsidRPr="00B72E97">
        <w:rPr>
          <w:vertAlign w:val="subscript"/>
        </w:rPr>
        <w:t>2.5</w:t>
      </w:r>
      <w:r w:rsidR="00B72E97" w:rsidRPr="00B72E97">
        <w:t xml:space="preserve"> based on proximity, population density, and air emissions profile.</w:t>
      </w:r>
      <w:r w:rsidR="00B72E97" w:rsidRPr="00B72E97">
        <w:rPr>
          <w:b/>
          <w:vertAlign w:val="superscript"/>
        </w:rPr>
        <w:footnoteReference w:id="48"/>
      </w:r>
      <w:r w:rsidR="00B72E97" w:rsidRPr="00B72E97">
        <w:t xml:space="preserve">  </w:t>
      </w:r>
      <w:r w:rsidR="0039739B">
        <w:t>Venture Global</w:t>
      </w:r>
      <w:r w:rsidR="00B72E97" w:rsidRPr="00B72E97">
        <w:t xml:space="preserve"> stated that it did not previously use the Vinton </w:t>
      </w:r>
      <w:r w:rsidR="00F76684">
        <w:t>Monitoring Station</w:t>
      </w:r>
      <w:r w:rsidR="00B72E97" w:rsidRPr="00B72E97">
        <w:t xml:space="preserve"> due to concerns with data from the </w:t>
      </w:r>
      <w:r w:rsidR="00B72E97" w:rsidRPr="00B72E97">
        <w:lastRenderedPageBreak/>
        <w:t xml:space="preserve">third quarter of 2021, which </w:t>
      </w:r>
      <w:r w:rsidR="00463B3D">
        <w:t xml:space="preserve">data </w:t>
      </w:r>
      <w:r w:rsidR="00B72E97" w:rsidRPr="00B72E97">
        <w:t xml:space="preserve">the EPA </w:t>
      </w:r>
      <w:r w:rsidR="00FF7310">
        <w:t>had since</w:t>
      </w:r>
      <w:r w:rsidR="00FF7310" w:rsidRPr="00B72E97">
        <w:t xml:space="preserve"> </w:t>
      </w:r>
      <w:r w:rsidR="00B72E97" w:rsidRPr="00B72E97">
        <w:t>confirmed to be valid.</w:t>
      </w:r>
      <w:r w:rsidR="00B72E97" w:rsidRPr="00B72E97">
        <w:rPr>
          <w:b/>
          <w:vertAlign w:val="superscript"/>
        </w:rPr>
        <w:footnoteReference w:id="49"/>
      </w:r>
      <w:r w:rsidR="00B72E97" w:rsidRPr="00B72E97">
        <w:t xml:space="preserve">  The </w:t>
      </w:r>
      <w:r w:rsidR="007E0EAD">
        <w:t xml:space="preserve">updated </w:t>
      </w:r>
      <w:r w:rsidR="00B72E97" w:rsidRPr="00B72E97">
        <w:t xml:space="preserve">air model using the Vinton </w:t>
      </w:r>
      <w:r w:rsidR="0039739B">
        <w:t>Monitoring Station</w:t>
      </w:r>
      <w:r w:rsidR="00B72E97" w:rsidRPr="00B72E97">
        <w:t xml:space="preserve"> showed </w:t>
      </w:r>
      <w:r w:rsidR="004C03C3">
        <w:t xml:space="preserve">an </w:t>
      </w:r>
      <w:r w:rsidR="00B72E97" w:rsidRPr="00B72E97">
        <w:t>annual PM</w:t>
      </w:r>
      <w:r w:rsidR="00B72E97" w:rsidRPr="00B72E97">
        <w:rPr>
          <w:vertAlign w:val="subscript"/>
        </w:rPr>
        <w:t>2.5</w:t>
      </w:r>
      <w:r w:rsidR="00B72E97">
        <w:rPr>
          <w:vertAlign w:val="subscript"/>
        </w:rPr>
        <w:t xml:space="preserve"> </w:t>
      </w:r>
      <w:r w:rsidR="004C03C3">
        <w:t xml:space="preserve">level </w:t>
      </w:r>
      <w:r w:rsidR="00F76684">
        <w:t>of</w:t>
      </w:r>
      <w:r w:rsidR="00B72E97" w:rsidRPr="00B72E97">
        <w:t xml:space="preserve"> 8.1 µg/m</w:t>
      </w:r>
      <w:r w:rsidR="00B72E97" w:rsidRPr="00B72E97">
        <w:rPr>
          <w:vertAlign w:val="superscript"/>
        </w:rPr>
        <w:t>3</w:t>
      </w:r>
      <w:r w:rsidR="00B72E97" w:rsidRPr="00B72E97">
        <w:t xml:space="preserve"> </w:t>
      </w:r>
      <w:r w:rsidR="00F76684">
        <w:t>for the CP2 LNG Project</w:t>
      </w:r>
      <w:r w:rsidR="00AB089F">
        <w:t>,</w:t>
      </w:r>
      <w:r w:rsidR="00F76684">
        <w:t xml:space="preserve"> </w:t>
      </w:r>
      <w:r w:rsidR="00B72E97" w:rsidRPr="00B72E97">
        <w:t>below the new NAAQS threshold of 9</w:t>
      </w:r>
      <w:r w:rsidR="007E0EAD">
        <w:t>.0</w:t>
      </w:r>
      <w:r w:rsidR="00B72E97" w:rsidRPr="00B72E97">
        <w:t xml:space="preserve"> µg/m</w:t>
      </w:r>
      <w:r w:rsidR="00B72E97" w:rsidRPr="00B72E97">
        <w:rPr>
          <w:vertAlign w:val="superscript"/>
        </w:rPr>
        <w:t>3</w:t>
      </w:r>
      <w:r w:rsidR="00B72E97" w:rsidRPr="00B72E97">
        <w:t>.</w:t>
      </w:r>
      <w:r w:rsidR="00204C00">
        <w:rPr>
          <w:rStyle w:val="FootnoteReference"/>
        </w:rPr>
        <w:footnoteReference w:id="50"/>
      </w:r>
    </w:p>
    <w:p w14:paraId="6E47BA20" w14:textId="77777777" w:rsidR="00B7191C" w:rsidRDefault="00057512" w:rsidP="002A7CB3">
      <w:pPr>
        <w:pStyle w:val="FERCparanumber"/>
      </w:pPr>
      <w:r>
        <w:t>A</w:t>
      </w:r>
      <w:r w:rsidR="002B198E">
        <w:t xml:space="preserve">lso </w:t>
      </w:r>
      <w:r w:rsidR="001F2CC9">
        <w:t>after</w:t>
      </w:r>
      <w:r w:rsidR="002B198E">
        <w:t xml:space="preserve"> </w:t>
      </w:r>
      <w:r w:rsidR="00D11F8D">
        <w:t xml:space="preserve">the final EIS, </w:t>
      </w:r>
      <w:r w:rsidR="002B198E" w:rsidRPr="002B198E">
        <w:t>on March 17, 2024, Venture Global filed a request with Louisiana Department of Environmental Quality (LDEQ) to increase air emissions from its Calcasieu Pass LNG (CP1 LNG) terminal</w:t>
      </w:r>
      <w:r w:rsidR="004C03C3">
        <w:t>,</w:t>
      </w:r>
      <w:r w:rsidR="002B198E" w:rsidRPr="002B198E">
        <w:t xml:space="preserve"> which would result in increased cumulative PM</w:t>
      </w:r>
      <w:r w:rsidR="002B198E" w:rsidRPr="002B198E">
        <w:rPr>
          <w:vertAlign w:val="subscript"/>
        </w:rPr>
        <w:t>2.5</w:t>
      </w:r>
      <w:r w:rsidR="002B198E" w:rsidRPr="002B198E">
        <w:t xml:space="preserve"> and </w:t>
      </w:r>
      <w:r w:rsidR="2D5610D0" w:rsidRPr="002B198E">
        <w:t>oxides of nitrogen (</w:t>
      </w:r>
      <w:r w:rsidR="002B198E" w:rsidRPr="002B198E">
        <w:t>NOx</w:t>
      </w:r>
      <w:r w:rsidR="7622A367" w:rsidRPr="002B198E">
        <w:t>)</w:t>
      </w:r>
      <w:r w:rsidR="002B198E" w:rsidRPr="002B198E">
        <w:t xml:space="preserve"> impacts in the surrounding area.</w:t>
      </w:r>
      <w:r w:rsidR="002B198E" w:rsidRPr="002B198E">
        <w:rPr>
          <w:b/>
          <w:vertAlign w:val="superscript"/>
        </w:rPr>
        <w:footnoteReference w:id="51"/>
      </w:r>
      <w:r w:rsidR="002B198E" w:rsidRPr="002B198E">
        <w:t xml:space="preserve">  On May 15, 2024, the Commission </w:t>
      </w:r>
      <w:r w:rsidR="00EF6BD5">
        <w:t>issued a data request asking</w:t>
      </w:r>
      <w:r w:rsidR="00EF6BD5" w:rsidRPr="002B198E">
        <w:t xml:space="preserve"> </w:t>
      </w:r>
      <w:r w:rsidR="002B198E" w:rsidRPr="002B198E">
        <w:t xml:space="preserve">CP2 LNG </w:t>
      </w:r>
      <w:r w:rsidR="00EF6BD5">
        <w:t xml:space="preserve">to </w:t>
      </w:r>
      <w:r w:rsidR="002B198E" w:rsidRPr="002B198E">
        <w:t xml:space="preserve">provide additional </w:t>
      </w:r>
      <w:r w:rsidR="00C25F8E">
        <w:t xml:space="preserve">air </w:t>
      </w:r>
      <w:r w:rsidR="002B198E" w:rsidRPr="002B198E">
        <w:t xml:space="preserve">modeling to account for </w:t>
      </w:r>
      <w:r w:rsidR="00F215B5">
        <w:t>these increased</w:t>
      </w:r>
      <w:r w:rsidR="009B0E1B">
        <w:t xml:space="preserve"> emissions</w:t>
      </w:r>
      <w:r w:rsidR="002B198E" w:rsidRPr="002B198E">
        <w:t>.</w:t>
      </w:r>
      <w:r w:rsidR="002B198E" w:rsidRPr="002B198E">
        <w:rPr>
          <w:b/>
          <w:vertAlign w:val="superscript"/>
        </w:rPr>
        <w:footnoteReference w:id="52"/>
      </w:r>
      <w:r w:rsidR="002B198E" w:rsidRPr="002B198E">
        <w:t xml:space="preserve">  CP2 LNG responded that its prior modeling included this information</w:t>
      </w:r>
      <w:r w:rsidR="00B7191C">
        <w:t xml:space="preserve"> and provided its application materials for the </w:t>
      </w:r>
      <w:r w:rsidR="00887261">
        <w:t xml:space="preserve">               </w:t>
      </w:r>
      <w:r w:rsidR="00B7191C">
        <w:t>CP1 LN</w:t>
      </w:r>
      <w:r w:rsidR="001434E4">
        <w:t xml:space="preserve">G </w:t>
      </w:r>
      <w:r w:rsidR="00C25F8E">
        <w:t xml:space="preserve">terminal </w:t>
      </w:r>
      <w:r w:rsidR="001434E4">
        <w:t>permit</w:t>
      </w:r>
      <w:r w:rsidR="002B198E" w:rsidRPr="002B198E">
        <w:t>.</w:t>
      </w:r>
      <w:r w:rsidR="001434E4">
        <w:rPr>
          <w:rStyle w:val="FootnoteReference"/>
        </w:rPr>
        <w:footnoteReference w:id="53"/>
      </w:r>
      <w:r w:rsidR="001434E4">
        <w:t xml:space="preserve">  </w:t>
      </w:r>
      <w:r w:rsidR="001434E4" w:rsidRPr="001434E4">
        <w:t xml:space="preserve">Commission staff </w:t>
      </w:r>
      <w:r w:rsidR="005A441F">
        <w:t>confirmed</w:t>
      </w:r>
      <w:r w:rsidR="005A441F" w:rsidRPr="001434E4">
        <w:t xml:space="preserve"> </w:t>
      </w:r>
      <w:r w:rsidR="001434E4" w:rsidRPr="001434E4">
        <w:t xml:space="preserve">that the modeling </w:t>
      </w:r>
      <w:r w:rsidR="005A441F">
        <w:t>reflected</w:t>
      </w:r>
      <w:r w:rsidR="005A441F" w:rsidRPr="001434E4">
        <w:t xml:space="preserve"> </w:t>
      </w:r>
      <w:r w:rsidR="001434E4" w:rsidRPr="001434E4">
        <w:t xml:space="preserve">the increase in </w:t>
      </w:r>
      <w:r w:rsidR="005B7F9D">
        <w:t xml:space="preserve">the </w:t>
      </w:r>
      <w:r w:rsidR="001434E4" w:rsidRPr="001434E4">
        <w:t>CP1 LNG</w:t>
      </w:r>
      <w:r w:rsidR="005B7F9D">
        <w:t xml:space="preserve"> terminal’s</w:t>
      </w:r>
      <w:r w:rsidR="001434E4" w:rsidRPr="001434E4">
        <w:t xml:space="preserve"> operational emissions, but </w:t>
      </w:r>
      <w:r w:rsidR="00353959">
        <w:t xml:space="preserve">determined that it </w:t>
      </w:r>
      <w:r w:rsidR="001434E4" w:rsidRPr="001434E4">
        <w:t xml:space="preserve">did not include </w:t>
      </w:r>
      <w:r w:rsidR="00F5194D">
        <w:t>emissions from</w:t>
      </w:r>
      <w:r w:rsidR="001434E4" w:rsidRPr="001434E4">
        <w:t xml:space="preserve"> associated LNG ship</w:t>
      </w:r>
      <w:r w:rsidR="00555A2A">
        <w:t>s</w:t>
      </w:r>
      <w:r w:rsidR="001434E4" w:rsidRPr="001434E4">
        <w:t xml:space="preserve"> and support vessel</w:t>
      </w:r>
      <w:r w:rsidR="00F5194D">
        <w:t>s</w:t>
      </w:r>
      <w:r w:rsidR="001434E4" w:rsidRPr="001434E4">
        <w:t>.</w:t>
      </w:r>
      <w:r w:rsidR="001434E4">
        <w:rPr>
          <w:rStyle w:val="FootnoteReference"/>
        </w:rPr>
        <w:footnoteReference w:id="54"/>
      </w:r>
      <w:r w:rsidR="001434E4" w:rsidRPr="001434E4">
        <w:t xml:space="preserve">  </w:t>
      </w:r>
      <w:r w:rsidR="005B7F9D">
        <w:t xml:space="preserve">Therefore, </w:t>
      </w:r>
      <w:r w:rsidR="001434E4" w:rsidRPr="001434E4">
        <w:t xml:space="preserve">Commission staff issued a </w:t>
      </w:r>
      <w:r w:rsidR="005B7F9D">
        <w:t>data request</w:t>
      </w:r>
      <w:r w:rsidR="005B7F9D" w:rsidRPr="001434E4">
        <w:t xml:space="preserve"> </w:t>
      </w:r>
      <w:r w:rsidR="001434E4" w:rsidRPr="001434E4">
        <w:t>on May</w:t>
      </w:r>
      <w:r w:rsidR="00EE7E82">
        <w:t> </w:t>
      </w:r>
      <w:r w:rsidR="001434E4" w:rsidRPr="001434E4">
        <w:t xml:space="preserve">29, 2024, </w:t>
      </w:r>
      <w:r w:rsidR="00604A53">
        <w:t>requiring</w:t>
      </w:r>
      <w:r w:rsidR="001434E4" w:rsidRPr="001434E4">
        <w:t xml:space="preserve"> CP2 LNG </w:t>
      </w:r>
      <w:r w:rsidR="00604A53">
        <w:t>to</w:t>
      </w:r>
      <w:r w:rsidR="001434E4" w:rsidRPr="001434E4">
        <w:t xml:space="preserve"> include </w:t>
      </w:r>
      <w:r w:rsidR="005B7F9D">
        <w:t xml:space="preserve">the </w:t>
      </w:r>
      <w:r w:rsidR="001434E4" w:rsidRPr="001434E4">
        <w:t>CP1 LNG</w:t>
      </w:r>
      <w:r w:rsidR="005B7F9D">
        <w:t xml:space="preserve"> terminal’s</w:t>
      </w:r>
      <w:r w:rsidR="001434E4" w:rsidRPr="001434E4">
        <w:t xml:space="preserve"> marine emissions in its </w:t>
      </w:r>
      <w:r w:rsidR="00353959">
        <w:t>cumulative air modeling</w:t>
      </w:r>
      <w:r w:rsidR="001434E4">
        <w:t xml:space="preserve"> </w:t>
      </w:r>
      <w:r w:rsidR="00353959">
        <w:t>analysis</w:t>
      </w:r>
      <w:r w:rsidR="00A14F1A">
        <w:t>.</w:t>
      </w:r>
      <w:r w:rsidR="00353959">
        <w:t xml:space="preserve"> </w:t>
      </w:r>
      <w:r w:rsidR="007F725F">
        <w:t xml:space="preserve"> </w:t>
      </w:r>
      <w:r w:rsidR="00A14F1A">
        <w:t>O</w:t>
      </w:r>
      <w:r w:rsidR="001434E4">
        <w:t xml:space="preserve">n June 3, 2024, </w:t>
      </w:r>
      <w:r w:rsidR="00501C45" w:rsidRPr="00501C45">
        <w:t xml:space="preserve">CP2 LNG filed an updated </w:t>
      </w:r>
      <w:r w:rsidR="00353959">
        <w:t>cumulative air modeling analysis</w:t>
      </w:r>
      <w:r w:rsidR="00501C45" w:rsidRPr="00501C45">
        <w:t xml:space="preserve"> that included the </w:t>
      </w:r>
      <w:r w:rsidR="00D401A7">
        <w:t>requested inform</w:t>
      </w:r>
      <w:r w:rsidR="00352164">
        <w:t>ation</w:t>
      </w:r>
      <w:r w:rsidR="002F5E94">
        <w:t>.</w:t>
      </w:r>
      <w:r w:rsidR="002F5E94">
        <w:rPr>
          <w:rStyle w:val="FootnoteReference"/>
        </w:rPr>
        <w:footnoteReference w:id="55"/>
      </w:r>
      <w:r w:rsidR="0053476F">
        <w:t xml:space="preserve">  </w:t>
      </w:r>
    </w:p>
    <w:p w14:paraId="50BC44E0" w14:textId="77777777" w:rsidR="002E3340" w:rsidRDefault="002E3340" w:rsidP="002E3340">
      <w:pPr>
        <w:pStyle w:val="Heading2"/>
      </w:pPr>
      <w:r>
        <w:t>Authorization Order</w:t>
      </w:r>
    </w:p>
    <w:p w14:paraId="61AB2AE7" w14:textId="77777777" w:rsidR="00886ADE" w:rsidRDefault="00643432" w:rsidP="002C5626">
      <w:pPr>
        <w:pStyle w:val="FERCparanumber"/>
      </w:pPr>
      <w:r>
        <w:t xml:space="preserve">Based on </w:t>
      </w:r>
      <w:r w:rsidR="00BE18FF">
        <w:t xml:space="preserve">its review of the final EIS, the Commission determined that </w:t>
      </w:r>
      <w:r w:rsidR="00A6642E" w:rsidRPr="00A6642E">
        <w:t xml:space="preserve">the </w:t>
      </w:r>
      <w:r w:rsidR="00A6642E">
        <w:t>P</w:t>
      </w:r>
      <w:r w:rsidR="00A6642E" w:rsidRPr="00A6642E">
        <w:t>rojects would not cause or contribute to the anticipated exceedances of the 1-hour NO</w:t>
      </w:r>
      <w:r w:rsidR="00A6642E" w:rsidRPr="00A6642E">
        <w:rPr>
          <w:vertAlign w:val="subscript"/>
        </w:rPr>
        <w:t>2</w:t>
      </w:r>
      <w:r w:rsidR="00A6642E" w:rsidRPr="00A6642E">
        <w:t xml:space="preserve"> or the </w:t>
      </w:r>
      <w:r w:rsidR="00887261">
        <w:t xml:space="preserve"> </w:t>
      </w:r>
      <w:r w:rsidR="00A6642E" w:rsidRPr="00A6642E">
        <w:t>24-hour PM</w:t>
      </w:r>
      <w:r w:rsidR="00A6642E" w:rsidRPr="00A6642E">
        <w:rPr>
          <w:vertAlign w:val="subscript"/>
        </w:rPr>
        <w:t>2.5</w:t>
      </w:r>
      <w:r w:rsidR="00C50E6C">
        <w:t xml:space="preserve"> NAAQS</w:t>
      </w:r>
      <w:r w:rsidR="00A6642E" w:rsidRPr="00A6642E">
        <w:t>.</w:t>
      </w:r>
      <w:r w:rsidR="00A6642E" w:rsidRPr="00A6642E">
        <w:rPr>
          <w:b/>
          <w:vertAlign w:val="superscript"/>
        </w:rPr>
        <w:footnoteReference w:id="56"/>
      </w:r>
      <w:r w:rsidR="00A6642E" w:rsidRPr="00A6642E">
        <w:t xml:space="preserve">  </w:t>
      </w:r>
      <w:r w:rsidR="00BD7009">
        <w:t>Further</w:t>
      </w:r>
      <w:r w:rsidR="00190CA3">
        <w:t xml:space="preserve">, </w:t>
      </w:r>
      <w:r w:rsidR="00C73F33">
        <w:t>although</w:t>
      </w:r>
      <w:r w:rsidR="00190CA3">
        <w:t xml:space="preserve"> the </w:t>
      </w:r>
      <w:r w:rsidR="009B21A4">
        <w:t>post-</w:t>
      </w:r>
      <w:r w:rsidR="00187ADE">
        <w:t xml:space="preserve">final </w:t>
      </w:r>
      <w:r w:rsidR="009B21A4">
        <w:t xml:space="preserve">EIS </w:t>
      </w:r>
      <w:r w:rsidR="00190CA3">
        <w:t xml:space="preserve">air modeling submitted by Venture Global </w:t>
      </w:r>
      <w:r w:rsidR="00C73F33">
        <w:t>showed an</w:t>
      </w:r>
      <w:r w:rsidR="00190CA3" w:rsidRPr="009C1703">
        <w:t xml:space="preserve"> increase in </w:t>
      </w:r>
      <w:r w:rsidR="00C50E6C">
        <w:t xml:space="preserve">the </w:t>
      </w:r>
      <w:r w:rsidR="00190CA3" w:rsidRPr="009C1703">
        <w:t xml:space="preserve">CP1 LNG </w:t>
      </w:r>
      <w:r w:rsidR="00C50E6C">
        <w:t xml:space="preserve">terminal </w:t>
      </w:r>
      <w:r w:rsidR="00190CA3" w:rsidRPr="009C1703">
        <w:t>emissions</w:t>
      </w:r>
      <w:r w:rsidR="001F2CC9">
        <w:t xml:space="preserve"> of</w:t>
      </w:r>
      <w:r w:rsidR="001F2CC9" w:rsidRPr="001F2CC9">
        <w:t xml:space="preserve"> </w:t>
      </w:r>
      <w:r w:rsidR="001F2CC9" w:rsidRPr="009C1703">
        <w:t>NO</w:t>
      </w:r>
      <w:r w:rsidR="001F2CC9" w:rsidRPr="009C1703">
        <w:rPr>
          <w:vertAlign w:val="subscript"/>
        </w:rPr>
        <w:t>2</w:t>
      </w:r>
      <w:r w:rsidR="001F2CC9" w:rsidRPr="009C1703">
        <w:t xml:space="preserve"> and </w:t>
      </w:r>
      <w:r w:rsidR="001F2CC9" w:rsidRPr="009C1703">
        <w:lastRenderedPageBreak/>
        <w:t>PM</w:t>
      </w:r>
      <w:r w:rsidR="001F2CC9" w:rsidRPr="009C1703">
        <w:rPr>
          <w:vertAlign w:val="subscript"/>
        </w:rPr>
        <w:t>2.5</w:t>
      </w:r>
      <w:r w:rsidR="00AE736E">
        <w:t xml:space="preserve">, </w:t>
      </w:r>
      <w:r w:rsidR="00AE736E" w:rsidRPr="00B47893">
        <w:t xml:space="preserve">including </w:t>
      </w:r>
      <w:r w:rsidR="00555698" w:rsidRPr="00B47893">
        <w:t xml:space="preserve">marine </w:t>
      </w:r>
      <w:r w:rsidR="0033664E">
        <w:t xml:space="preserve">mobile </w:t>
      </w:r>
      <w:r w:rsidR="00555698" w:rsidRPr="00B47893">
        <w:t xml:space="preserve">emissions associated with the CP1 </w:t>
      </w:r>
      <w:r w:rsidR="00737158" w:rsidRPr="00B47893">
        <w:t>project</w:t>
      </w:r>
      <w:r w:rsidR="00737158">
        <w:t>,</w:t>
      </w:r>
      <w:r w:rsidR="00190CA3" w:rsidRPr="009C1703">
        <w:t xml:space="preserve"> the updated analysis demonstrate</w:t>
      </w:r>
      <w:r w:rsidR="00190CA3">
        <w:t>d</w:t>
      </w:r>
      <w:r w:rsidR="00190CA3" w:rsidRPr="009C1703">
        <w:t xml:space="preserve"> that operation of the CP2 LNG </w:t>
      </w:r>
      <w:r w:rsidR="00190CA3">
        <w:t>Project</w:t>
      </w:r>
      <w:r w:rsidR="00190CA3" w:rsidRPr="009C1703">
        <w:t xml:space="preserve"> would not result in air quality impacts that would cause or contribute to an exceedance of any NAAQS in the surrounding communities</w:t>
      </w:r>
      <w:r w:rsidR="008561F4">
        <w:t xml:space="preserve"> because </w:t>
      </w:r>
      <w:r w:rsidR="00B56643">
        <w:t>the project’s contribution at each NAAQS exceedance point was below the SIL</w:t>
      </w:r>
      <w:r w:rsidR="00190CA3">
        <w:t>.</w:t>
      </w:r>
      <w:r w:rsidR="00190CA3">
        <w:rPr>
          <w:rStyle w:val="FootnoteReference"/>
        </w:rPr>
        <w:footnoteReference w:id="57"/>
      </w:r>
      <w:r w:rsidR="004A2F56">
        <w:t xml:space="preserve">  The Commission also accepted Venture Global’s </w:t>
      </w:r>
      <w:r w:rsidR="00742B63">
        <w:t xml:space="preserve">use of </w:t>
      </w:r>
      <w:r w:rsidR="00C325B7">
        <w:t xml:space="preserve">data from </w:t>
      </w:r>
      <w:r w:rsidR="00742B63">
        <w:t xml:space="preserve">the Vinton Monitoring Station as being </w:t>
      </w:r>
      <w:r w:rsidR="007068E8" w:rsidRPr="007068E8">
        <w:t xml:space="preserve">more representative of the project area than </w:t>
      </w:r>
      <w:r w:rsidR="00050614">
        <w:t>that from</w:t>
      </w:r>
      <w:r w:rsidR="007068E8" w:rsidRPr="007068E8">
        <w:t xml:space="preserve"> the West Orange</w:t>
      </w:r>
      <w:r w:rsidR="007068E8">
        <w:t xml:space="preserve"> Monitoring Station and </w:t>
      </w:r>
      <w:r w:rsidR="007B10ED">
        <w:t>found</w:t>
      </w:r>
      <w:r w:rsidR="007068E8">
        <w:t xml:space="preserve"> that</w:t>
      </w:r>
      <w:r w:rsidR="002C7618">
        <w:t>, w</w:t>
      </w:r>
      <w:r w:rsidR="002C7618" w:rsidRPr="002C7618">
        <w:t xml:space="preserve">ith the Vinton </w:t>
      </w:r>
      <w:r w:rsidR="002C7618">
        <w:t>Monitoring Station</w:t>
      </w:r>
      <w:r w:rsidR="0084155E">
        <w:t>,</w:t>
      </w:r>
      <w:r w:rsidR="002C7618" w:rsidRPr="002C7618">
        <w:t xml:space="preserve"> the total cumulative concentration of annual PM</w:t>
      </w:r>
      <w:r w:rsidR="002C7618" w:rsidRPr="002C7618">
        <w:rPr>
          <w:vertAlign w:val="subscript"/>
        </w:rPr>
        <w:t>2.5</w:t>
      </w:r>
      <w:r w:rsidR="002C7618" w:rsidRPr="002C7618">
        <w:t xml:space="preserve"> will be 8.</w:t>
      </w:r>
      <w:r w:rsidR="00BC40E3">
        <w:t>1</w:t>
      </w:r>
      <w:r w:rsidR="002C7618" w:rsidRPr="002C7618">
        <w:t xml:space="preserve"> </w:t>
      </w:r>
      <w:r w:rsidR="00E10115" w:rsidRPr="00B97446">
        <w:t>µg</w:t>
      </w:r>
      <w:r w:rsidR="002C7618" w:rsidRPr="002C7618">
        <w:t>/m</w:t>
      </w:r>
      <w:r w:rsidR="002C7618" w:rsidRPr="002C7618">
        <w:rPr>
          <w:vertAlign w:val="superscript"/>
        </w:rPr>
        <w:t>3</w:t>
      </w:r>
      <w:r w:rsidR="002C7618" w:rsidRPr="002C7618">
        <w:t xml:space="preserve"> once the </w:t>
      </w:r>
      <w:r w:rsidR="00E709B5">
        <w:t>CP2 LNG Project</w:t>
      </w:r>
      <w:r w:rsidR="002C7618" w:rsidRPr="002C7618">
        <w:t xml:space="preserve"> </w:t>
      </w:r>
      <w:r w:rsidR="00E709B5">
        <w:t>is</w:t>
      </w:r>
      <w:r w:rsidR="002C7618" w:rsidRPr="002C7618">
        <w:t xml:space="preserve"> in operation, </w:t>
      </w:r>
      <w:r w:rsidR="007159B3">
        <w:t>below</w:t>
      </w:r>
      <w:r w:rsidR="002C7618" w:rsidRPr="002C7618">
        <w:t xml:space="preserve"> EPA’s revised </w:t>
      </w:r>
      <w:r w:rsidR="0084155E">
        <w:t>annual</w:t>
      </w:r>
      <w:r w:rsidR="00C73F33">
        <w:t xml:space="preserve"> </w:t>
      </w:r>
      <w:r w:rsidR="00C73F33" w:rsidRPr="00C73F33">
        <w:t>9.0 µg/m</w:t>
      </w:r>
      <w:r w:rsidR="00C73F33" w:rsidRPr="00C73F33">
        <w:rPr>
          <w:vertAlign w:val="superscript"/>
        </w:rPr>
        <w:t>3</w:t>
      </w:r>
      <w:r w:rsidR="0084155E">
        <w:t xml:space="preserve"> PM</w:t>
      </w:r>
      <w:r w:rsidR="0084155E" w:rsidRPr="005E77EB">
        <w:rPr>
          <w:vertAlign w:val="subscript"/>
        </w:rPr>
        <w:t>2.5</w:t>
      </w:r>
      <w:r w:rsidR="0084155E">
        <w:t xml:space="preserve"> NAAQS </w:t>
      </w:r>
      <w:r w:rsidR="007159B3">
        <w:t>threshold</w:t>
      </w:r>
      <w:r w:rsidR="002C7618" w:rsidRPr="002C7618">
        <w:t>.</w:t>
      </w:r>
      <w:r w:rsidR="00E709B5">
        <w:rPr>
          <w:rStyle w:val="FootnoteReference"/>
        </w:rPr>
        <w:footnoteReference w:id="58"/>
      </w:r>
      <w:r w:rsidR="002C5626">
        <w:t xml:space="preserve">  </w:t>
      </w:r>
    </w:p>
    <w:p w14:paraId="7E99BE79" w14:textId="77777777" w:rsidR="002E3340" w:rsidRDefault="00451CF7" w:rsidP="00763750">
      <w:pPr>
        <w:pStyle w:val="FERCparanumber"/>
      </w:pPr>
      <w:r>
        <w:t>A</w:t>
      </w:r>
      <w:r w:rsidR="007141B4">
        <w:t xml:space="preserve">fter considering </w:t>
      </w:r>
      <w:r w:rsidR="00194A8A" w:rsidRPr="00194A8A">
        <w:t>the information and analysis contained in the final EIS, as well as other information in the record</w:t>
      </w:r>
      <w:r w:rsidR="00194A8A">
        <w:t xml:space="preserve">, as supplemented or clarified in the Authorization Order, </w:t>
      </w:r>
      <w:r w:rsidR="000E1E8D" w:rsidRPr="000E1E8D">
        <w:t>the Commission found that the Projects, if implemented as described in the applications and in compliance with the environmental conditions in the Authorization Order, were environmentally acceptable actions.</w:t>
      </w:r>
      <w:r w:rsidR="000E1E8D" w:rsidRPr="000E1E8D">
        <w:rPr>
          <w:b/>
          <w:vertAlign w:val="superscript"/>
        </w:rPr>
        <w:footnoteReference w:id="59"/>
      </w:r>
      <w:r w:rsidR="00FA797B">
        <w:t xml:space="preserve">  </w:t>
      </w:r>
    </w:p>
    <w:p w14:paraId="6B2D3100" w14:textId="77777777" w:rsidR="002E3340" w:rsidRDefault="0082777A" w:rsidP="00EA1351">
      <w:pPr>
        <w:pStyle w:val="Heading2"/>
      </w:pPr>
      <w:r>
        <w:t>Subse</w:t>
      </w:r>
      <w:r w:rsidR="000C014D">
        <w:t>quent D.C. Circuit Decisions</w:t>
      </w:r>
    </w:p>
    <w:p w14:paraId="3FBDAF62" w14:textId="77777777" w:rsidR="00B534C5" w:rsidRDefault="009F3D32" w:rsidP="005D7A2F">
      <w:pPr>
        <w:pStyle w:val="FERCparanumber"/>
      </w:pPr>
      <w:r>
        <w:t xml:space="preserve">After the issuance of the Authorization Order, the D.C. Circuit issued its opinion in </w:t>
      </w:r>
      <w:r>
        <w:rPr>
          <w:i/>
          <w:iCs/>
        </w:rPr>
        <w:t>Healthy Gulf</w:t>
      </w:r>
      <w:r w:rsidR="00BC4E16">
        <w:t>,</w:t>
      </w:r>
      <w:r>
        <w:t xml:space="preserve"> </w:t>
      </w:r>
      <w:r w:rsidRPr="00A87873">
        <w:t>disagree</w:t>
      </w:r>
      <w:r w:rsidR="00BC4E16">
        <w:t>in</w:t>
      </w:r>
      <w:r w:rsidR="00C44402">
        <w:t>g</w:t>
      </w:r>
      <w:r w:rsidRPr="00A87873">
        <w:t xml:space="preserve"> with the Commission’s determination that the cumulative effects of a project’s NO</w:t>
      </w:r>
      <w:r w:rsidRPr="00A87873">
        <w:rPr>
          <w:vertAlign w:val="subscript"/>
        </w:rPr>
        <w:t>2</w:t>
      </w:r>
      <w:r w:rsidRPr="00A87873">
        <w:t xml:space="preserve"> emissions were insignificant </w:t>
      </w:r>
      <w:r w:rsidR="00C73F33" w:rsidRPr="00C73F33">
        <w:t>because incremental NO</w:t>
      </w:r>
      <w:r w:rsidR="00C73F33" w:rsidRPr="00C73F33">
        <w:rPr>
          <w:vertAlign w:val="subscript"/>
        </w:rPr>
        <w:t xml:space="preserve">2 </w:t>
      </w:r>
      <w:r w:rsidR="00C73F33" w:rsidRPr="00C73F33">
        <w:t>emission</w:t>
      </w:r>
      <w:r w:rsidR="00991F7E">
        <w:t>s</w:t>
      </w:r>
      <w:r w:rsidR="00C73F33" w:rsidRPr="00C73F33">
        <w:t xml:space="preserve"> fell below the applicable SIL at several NAAQS exceedance locations</w:t>
      </w:r>
      <w:r w:rsidRPr="00A87873">
        <w:t>.</w:t>
      </w:r>
      <w:r w:rsidRPr="00A87873">
        <w:rPr>
          <w:b/>
          <w:vertAlign w:val="superscript"/>
        </w:rPr>
        <w:footnoteReference w:id="60"/>
      </w:r>
      <w:r w:rsidRPr="00A87873">
        <w:t xml:space="preserve">  The court remanded the proceeding to the Commission to either explain how its use of the </w:t>
      </w:r>
      <w:r w:rsidR="00887261">
        <w:t xml:space="preserve">         </w:t>
      </w:r>
      <w:r w:rsidRPr="00A87873">
        <w:t>1-hour NO</w:t>
      </w:r>
      <w:r w:rsidRPr="00A87873">
        <w:rPr>
          <w:vertAlign w:val="subscript"/>
        </w:rPr>
        <w:t>2</w:t>
      </w:r>
      <w:r w:rsidRPr="00A87873">
        <w:t xml:space="preserve"> SIL is consistent with a proper cumulative effects analysis or to adequately assess the cumulative effects of the project’s NO</w:t>
      </w:r>
      <w:r w:rsidRPr="00A87873">
        <w:rPr>
          <w:vertAlign w:val="subscript"/>
        </w:rPr>
        <w:t>2</w:t>
      </w:r>
      <w:r w:rsidRPr="00A87873">
        <w:t xml:space="preserve"> emissions using a different methodology.</w:t>
      </w:r>
      <w:r w:rsidRPr="00A87873">
        <w:rPr>
          <w:b/>
          <w:vertAlign w:val="superscript"/>
        </w:rPr>
        <w:footnoteReference w:id="61"/>
      </w:r>
      <w:r w:rsidRPr="00A87873">
        <w:t xml:space="preserve">  </w:t>
      </w:r>
    </w:p>
    <w:p w14:paraId="6AFE091B" w14:textId="77777777" w:rsidR="005D7A2F" w:rsidRPr="005D7A2F" w:rsidRDefault="009F3D32" w:rsidP="00CB4C58">
      <w:pPr>
        <w:pStyle w:val="FERCparanumber"/>
      </w:pPr>
      <w:r>
        <w:t>The D.C. Circuit</w:t>
      </w:r>
      <w:r w:rsidR="007871CF">
        <w:t xml:space="preserve"> also issued its opinion</w:t>
      </w:r>
      <w:r>
        <w:t xml:space="preserve"> in </w:t>
      </w:r>
      <w:r w:rsidRPr="00E652E8">
        <w:rPr>
          <w:i/>
          <w:iCs/>
        </w:rPr>
        <w:t>City of Port Isabel</w:t>
      </w:r>
      <w:r w:rsidRPr="00E652E8">
        <w:t xml:space="preserve">, </w:t>
      </w:r>
      <w:r w:rsidR="007871CF">
        <w:t xml:space="preserve">which </w:t>
      </w:r>
      <w:r w:rsidRPr="00E652E8">
        <w:t xml:space="preserve">remanded orders </w:t>
      </w:r>
      <w:r w:rsidR="00F40B9B">
        <w:t>authorizing</w:t>
      </w:r>
      <w:r w:rsidR="00F40B9B" w:rsidRPr="00E652E8">
        <w:t xml:space="preserve"> </w:t>
      </w:r>
      <w:r w:rsidRPr="00E652E8">
        <w:t>other LNG projects for failure to issue a supplemental EIS</w:t>
      </w:r>
      <w:r w:rsidRPr="00D3151D">
        <w:rPr>
          <w:bCs/>
        </w:rPr>
        <w:t xml:space="preserve"> </w:t>
      </w:r>
      <w:r w:rsidRPr="00E652E8">
        <w:t xml:space="preserve">where the Commission “issu[ed] an entirely new and significantly expanded” environmental </w:t>
      </w:r>
      <w:r w:rsidRPr="00E652E8">
        <w:lastRenderedPageBreak/>
        <w:t>analysis “that reached new conclusions” in an order, without a separate NEPA document.</w:t>
      </w:r>
      <w:r w:rsidRPr="00E652E8">
        <w:rPr>
          <w:b/>
          <w:vertAlign w:val="superscript"/>
        </w:rPr>
        <w:footnoteReference w:id="62"/>
      </w:r>
      <w:r w:rsidRPr="00E652E8">
        <w:t xml:space="preserve">  </w:t>
      </w:r>
      <w:r>
        <w:rPr>
          <w:i/>
          <w:iCs/>
        </w:rPr>
        <w:t xml:space="preserve">City of </w:t>
      </w:r>
      <w:r w:rsidRPr="00843D69">
        <w:rPr>
          <w:i/>
          <w:iCs/>
        </w:rPr>
        <w:t>Port Isabel</w:t>
      </w:r>
      <w:r>
        <w:t xml:space="preserve"> also faulted the Commission for relying on updated data without providing the public with an opportunity to comment on </w:t>
      </w:r>
      <w:r w:rsidR="000E010E">
        <w:t xml:space="preserve">either </w:t>
      </w:r>
      <w:r>
        <w:t>the underlying data or the Commission’s interpretation of that data</w:t>
      </w:r>
      <w:r w:rsidR="000E010E">
        <w:t>,</w:t>
      </w:r>
      <w:r>
        <w:t xml:space="preserve"> and found that the public was deprived of an </w:t>
      </w:r>
      <w:r w:rsidR="005562F7">
        <w:t>“</w:t>
      </w:r>
      <w:r>
        <w:t xml:space="preserve">adequate </w:t>
      </w:r>
      <w:r w:rsidR="005562F7">
        <w:t>‘</w:t>
      </w:r>
      <w:r>
        <w:t>springboard for</w:t>
      </w:r>
      <w:r w:rsidR="003E4C69">
        <w:t xml:space="preserve"> public</w:t>
      </w:r>
      <w:r>
        <w:t xml:space="preserve"> comment</w:t>
      </w:r>
      <w:r w:rsidR="003E4C69">
        <w:t>’”</w:t>
      </w:r>
      <w:r>
        <w:t xml:space="preserve"> under NEPA.</w:t>
      </w:r>
      <w:r>
        <w:rPr>
          <w:rStyle w:val="FootnoteReference"/>
        </w:rPr>
        <w:footnoteReference w:id="63"/>
      </w:r>
      <w:r>
        <w:t xml:space="preserve">  </w:t>
      </w:r>
    </w:p>
    <w:p w14:paraId="2EB04E17" w14:textId="77777777" w:rsidR="005D7A2F" w:rsidRDefault="005D7A2F" w:rsidP="005E77EB">
      <w:pPr>
        <w:pStyle w:val="Heading2"/>
      </w:pPr>
      <w:r>
        <w:t>Rehearing Order</w:t>
      </w:r>
    </w:p>
    <w:p w14:paraId="3CB096CE" w14:textId="77777777" w:rsidR="00EA1351" w:rsidRDefault="00763750" w:rsidP="00EA1351">
      <w:pPr>
        <w:pStyle w:val="FERCparanumber"/>
      </w:pPr>
      <w:r>
        <w:t>Petitioners sought rehearing of the Authorization Order</w:t>
      </w:r>
      <w:r w:rsidR="00D93148">
        <w:t xml:space="preserve"> and alleged that the Commission</w:t>
      </w:r>
      <w:r w:rsidR="0038746F">
        <w:t xml:space="preserve">:  </w:t>
      </w:r>
      <w:r w:rsidR="00934DC5" w:rsidRPr="00934DC5" w:rsidDel="003E7AFB">
        <w:t>(1)</w:t>
      </w:r>
      <w:r w:rsidR="00934DC5" w:rsidRPr="00934DC5">
        <w:t> violated the NGA and Administrative Procedure Act (APA) by authorizing the Projects (including arguments related to jurisdiction,</w:t>
      </w:r>
      <w:r w:rsidR="00934DC5" w:rsidRPr="00934DC5">
        <w:rPr>
          <w:b/>
          <w:vertAlign w:val="superscript"/>
        </w:rPr>
        <w:footnoteReference w:id="64"/>
      </w:r>
      <w:r w:rsidR="00934DC5" w:rsidRPr="00934DC5">
        <w:t xml:space="preserve"> public interest,</w:t>
      </w:r>
      <w:r w:rsidR="00934DC5" w:rsidRPr="00934DC5">
        <w:rPr>
          <w:b/>
          <w:vertAlign w:val="superscript"/>
        </w:rPr>
        <w:footnoteReference w:id="65"/>
      </w:r>
      <w:r w:rsidR="00934DC5" w:rsidRPr="00934DC5">
        <w:t xml:space="preserve"> need,</w:t>
      </w:r>
      <w:r w:rsidR="00934DC5" w:rsidRPr="00934DC5">
        <w:rPr>
          <w:b/>
          <w:vertAlign w:val="superscript"/>
        </w:rPr>
        <w:footnoteReference w:id="66"/>
      </w:r>
      <w:r w:rsidR="00934DC5" w:rsidRPr="00934DC5">
        <w:t xml:space="preserve"> and project benefits</w:t>
      </w:r>
      <w:r w:rsidR="00934DC5" w:rsidRPr="00934DC5">
        <w:rPr>
          <w:b/>
          <w:vertAlign w:val="superscript"/>
        </w:rPr>
        <w:footnoteReference w:id="67"/>
      </w:r>
      <w:r w:rsidR="00934DC5" w:rsidRPr="00934DC5">
        <w:t>); (2) violated NEPA</w:t>
      </w:r>
      <w:r w:rsidR="00A31743">
        <w:rPr>
          <w:rStyle w:val="FootnoteReference"/>
        </w:rPr>
        <w:footnoteReference w:id="68"/>
      </w:r>
      <w:r w:rsidR="00934DC5" w:rsidRPr="00934DC5">
        <w:t xml:space="preserve"> and related APA responsibilities (including arguments related to alternatives,</w:t>
      </w:r>
      <w:r w:rsidR="00934DC5" w:rsidRPr="00934DC5">
        <w:rPr>
          <w:b/>
          <w:vertAlign w:val="superscript"/>
        </w:rPr>
        <w:footnoteReference w:id="69"/>
      </w:r>
      <w:r w:rsidR="00934DC5" w:rsidRPr="00934DC5">
        <w:t xml:space="preserve"> greenhouse gases (GHG</w:t>
      </w:r>
      <w:r w:rsidR="000616A8">
        <w:t>s</w:t>
      </w:r>
      <w:r w:rsidR="00934DC5" w:rsidRPr="00934DC5">
        <w:t>),</w:t>
      </w:r>
      <w:r w:rsidR="00934DC5" w:rsidRPr="00934DC5">
        <w:rPr>
          <w:b/>
          <w:vertAlign w:val="superscript"/>
        </w:rPr>
        <w:footnoteReference w:id="70"/>
      </w:r>
      <w:r w:rsidR="00934DC5" w:rsidRPr="00934DC5">
        <w:t xml:space="preserve"> impacts to commercial and recreational fishing and local communities,</w:t>
      </w:r>
      <w:r w:rsidR="00934DC5" w:rsidRPr="00934DC5">
        <w:rPr>
          <w:b/>
          <w:vertAlign w:val="superscript"/>
        </w:rPr>
        <w:footnoteReference w:id="71"/>
      </w:r>
      <w:r w:rsidR="00934DC5" w:rsidRPr="00934DC5">
        <w:t xml:space="preserve"> safety,</w:t>
      </w:r>
      <w:r w:rsidR="00934DC5" w:rsidRPr="00934DC5">
        <w:rPr>
          <w:b/>
          <w:vertAlign w:val="superscript"/>
        </w:rPr>
        <w:footnoteReference w:id="72"/>
      </w:r>
      <w:r w:rsidR="00934DC5" w:rsidRPr="00934DC5">
        <w:t xml:space="preserve"> the</w:t>
      </w:r>
      <w:r w:rsidR="00773F6B">
        <w:t xml:space="preserve"> carbon capture </w:t>
      </w:r>
      <w:r w:rsidR="00773F6B">
        <w:lastRenderedPageBreak/>
        <w:t>and sequestration</w:t>
      </w:r>
      <w:r w:rsidR="00934DC5" w:rsidRPr="00934DC5">
        <w:t xml:space="preserve"> </w:t>
      </w:r>
      <w:r w:rsidR="00773F6B">
        <w:t>(</w:t>
      </w:r>
      <w:r w:rsidR="00934DC5" w:rsidRPr="00934DC5">
        <w:t>CCS</w:t>
      </w:r>
      <w:r w:rsidR="00773F6B">
        <w:t>)</w:t>
      </w:r>
      <w:r w:rsidR="00934DC5" w:rsidRPr="00934DC5">
        <w:t xml:space="preserve"> system,</w:t>
      </w:r>
      <w:r w:rsidR="00934DC5" w:rsidRPr="00934DC5">
        <w:rPr>
          <w:b/>
          <w:vertAlign w:val="superscript"/>
        </w:rPr>
        <w:footnoteReference w:id="73"/>
      </w:r>
      <w:r w:rsidR="00934DC5" w:rsidRPr="00934DC5">
        <w:t xml:space="preserve"> socioeconomics,</w:t>
      </w:r>
      <w:r w:rsidR="00934DC5" w:rsidRPr="00934DC5">
        <w:rPr>
          <w:b/>
          <w:vertAlign w:val="superscript"/>
        </w:rPr>
        <w:footnoteReference w:id="74"/>
      </w:r>
      <w:r w:rsidR="00934DC5" w:rsidRPr="00934DC5">
        <w:t xml:space="preserve"> impacts to the Rice’s whale,</w:t>
      </w:r>
      <w:r w:rsidR="00934DC5" w:rsidRPr="00934DC5">
        <w:rPr>
          <w:b/>
          <w:vertAlign w:val="superscript"/>
        </w:rPr>
        <w:footnoteReference w:id="75"/>
      </w:r>
      <w:r w:rsidR="00934DC5" w:rsidRPr="00934DC5">
        <w:t xml:space="preserve"> wetlands impacts,</w:t>
      </w:r>
      <w:r w:rsidR="00934DC5" w:rsidRPr="00934DC5">
        <w:rPr>
          <w:b/>
          <w:vertAlign w:val="superscript"/>
        </w:rPr>
        <w:footnoteReference w:id="76"/>
      </w:r>
      <w:r w:rsidR="00934DC5" w:rsidRPr="00934DC5">
        <w:t xml:space="preserve"> </w:t>
      </w:r>
      <w:r w:rsidR="00442F54">
        <w:t>impacts to surrounding communities</w:t>
      </w:r>
      <w:r w:rsidR="00934DC5" w:rsidRPr="00934DC5">
        <w:t>,</w:t>
      </w:r>
      <w:r w:rsidR="00934DC5" w:rsidRPr="00934DC5">
        <w:rPr>
          <w:b/>
          <w:vertAlign w:val="superscript"/>
        </w:rPr>
        <w:footnoteReference w:id="77"/>
      </w:r>
      <w:r w:rsidR="00934DC5" w:rsidRPr="00934DC5">
        <w:t xml:space="preserve"> and air impacts</w:t>
      </w:r>
      <w:r w:rsidR="00934DC5" w:rsidRPr="00934DC5">
        <w:rPr>
          <w:b/>
          <w:vertAlign w:val="superscript"/>
        </w:rPr>
        <w:footnoteReference w:id="78"/>
      </w:r>
      <w:r w:rsidR="00934DC5" w:rsidRPr="00934DC5">
        <w:t>)</w:t>
      </w:r>
      <w:r w:rsidR="00EC1198">
        <w:t>;</w:t>
      </w:r>
      <w:r w:rsidR="00934DC5" w:rsidRPr="00934DC5">
        <w:t xml:space="preserve"> and </w:t>
      </w:r>
      <w:r w:rsidR="00887261">
        <w:t xml:space="preserve">                </w:t>
      </w:r>
      <w:r w:rsidR="00934DC5" w:rsidRPr="00934DC5">
        <w:t>(3) failed to properly balance the benefits and adverse impacts of the Projects.</w:t>
      </w:r>
      <w:r w:rsidR="00934DC5" w:rsidRPr="00934DC5">
        <w:rPr>
          <w:b/>
          <w:vertAlign w:val="superscript"/>
        </w:rPr>
        <w:footnoteReference w:id="79"/>
      </w:r>
      <w:r w:rsidR="00934DC5" w:rsidRPr="00934DC5">
        <w:t xml:space="preserve">  </w:t>
      </w:r>
      <w:r w:rsidR="007F2D35">
        <w:t xml:space="preserve">With the </w:t>
      </w:r>
      <w:r w:rsidR="008D0C0C" w:rsidRPr="008D0C0C">
        <w:t>exception of Petitioners’ rehearing arguments regarding</w:t>
      </w:r>
      <w:r w:rsidR="00934DC5" w:rsidRPr="00934DC5">
        <w:t xml:space="preserve"> air impacts, </w:t>
      </w:r>
      <w:r w:rsidR="00934DC5">
        <w:t>the Commission</w:t>
      </w:r>
      <w:r w:rsidR="00934DC5" w:rsidRPr="00934DC5">
        <w:t xml:space="preserve"> </w:t>
      </w:r>
      <w:r w:rsidR="008D0C0C" w:rsidRPr="008D0C0C">
        <w:t>addressed</w:t>
      </w:r>
      <w:r w:rsidR="00F2450F">
        <w:t xml:space="preserve"> </w:t>
      </w:r>
      <w:r w:rsidR="007F2D35">
        <w:t xml:space="preserve">each of </w:t>
      </w:r>
      <w:r w:rsidR="00F2450F">
        <w:t>Petitioners’ arguments in the Rehearing Order</w:t>
      </w:r>
      <w:r w:rsidR="007F2D35">
        <w:t xml:space="preserve">, and provided further justification for and </w:t>
      </w:r>
      <w:r w:rsidR="008D0C0C" w:rsidRPr="008D0C0C">
        <w:t>sustained</w:t>
      </w:r>
      <w:r w:rsidR="007F2D35">
        <w:t xml:space="preserve"> the Commission’s determination</w:t>
      </w:r>
      <w:r w:rsidR="00991F7E">
        <w:t>s</w:t>
      </w:r>
      <w:r w:rsidR="007F2D35">
        <w:t xml:space="preserve"> in the Authorization </w:t>
      </w:r>
      <w:r w:rsidR="008D0C0C" w:rsidRPr="008D0C0C">
        <w:t>Order</w:t>
      </w:r>
      <w:r w:rsidR="00934DC5" w:rsidRPr="00934DC5">
        <w:t>.</w:t>
      </w:r>
      <w:r w:rsidR="00447CDF">
        <w:rPr>
          <w:rStyle w:val="FootnoteReference"/>
        </w:rPr>
        <w:footnoteReference w:id="80"/>
      </w:r>
      <w:r w:rsidR="006A4694">
        <w:t xml:space="preserve"> </w:t>
      </w:r>
    </w:p>
    <w:p w14:paraId="5D963D7E" w14:textId="77777777" w:rsidR="00390191" w:rsidRDefault="00C73F33" w:rsidP="003919E0">
      <w:pPr>
        <w:pStyle w:val="FERCparanumber"/>
      </w:pPr>
      <w:r w:rsidRPr="00C73F33">
        <w:t xml:space="preserve">The </w:t>
      </w:r>
      <w:r w:rsidR="003F137C">
        <w:t>R</w:t>
      </w:r>
      <w:r w:rsidRPr="00C73F33">
        <w:t>ehearing</w:t>
      </w:r>
      <w:r w:rsidR="003F137C">
        <w:t xml:space="preserve"> Order</w:t>
      </w:r>
      <w:r w:rsidRPr="00C73F33">
        <w:t xml:space="preserve"> set aside the Authorization Order, in part, based on the Commission</w:t>
      </w:r>
      <w:r w:rsidR="003F137C">
        <w:t>’</w:t>
      </w:r>
      <w:r w:rsidRPr="00C73F33">
        <w:t>s analysis of NO</w:t>
      </w:r>
      <w:r w:rsidRPr="00C73F33">
        <w:rPr>
          <w:vertAlign w:val="subscript"/>
        </w:rPr>
        <w:t>2</w:t>
      </w:r>
      <w:r w:rsidRPr="00C73F33">
        <w:t> and PM</w:t>
      </w:r>
      <w:r w:rsidRPr="00C73F33">
        <w:rPr>
          <w:vertAlign w:val="subscript"/>
        </w:rPr>
        <w:t>2.5</w:t>
      </w:r>
      <w:r w:rsidRPr="00C73F33">
        <w:t xml:space="preserve"> and potential conflict with the D.C. Circuit's specific directives to the Commission in </w:t>
      </w:r>
      <w:r w:rsidRPr="00C73F33">
        <w:rPr>
          <w:i/>
          <w:iCs/>
        </w:rPr>
        <w:t>Healthy Gulf</w:t>
      </w:r>
      <w:r w:rsidRPr="00C73F33">
        <w:t> and </w:t>
      </w:r>
      <w:r w:rsidRPr="00C73F33">
        <w:rPr>
          <w:i/>
          <w:iCs/>
        </w:rPr>
        <w:t>City of Port Isabel</w:t>
      </w:r>
      <w:r w:rsidRPr="00C73F33">
        <w:t xml:space="preserve"> for the purpose of conducting additional environmental review.</w:t>
      </w:r>
      <w:r w:rsidRPr="00C73F33">
        <w:rPr>
          <w:b/>
          <w:vertAlign w:val="superscript"/>
        </w:rPr>
        <w:footnoteReference w:id="81"/>
      </w:r>
      <w:r w:rsidRPr="00F23A5F">
        <w:rPr>
          <w:bCs/>
        </w:rPr>
        <w:t xml:space="preserve">  </w:t>
      </w:r>
      <w:r w:rsidR="0013314F">
        <w:t xml:space="preserve">The Commission </w:t>
      </w:r>
      <w:r w:rsidR="007047BA">
        <w:t xml:space="preserve">explained that </w:t>
      </w:r>
      <w:r w:rsidR="00655581" w:rsidRPr="00655581">
        <w:t>the Commission’s analysis of NO</w:t>
      </w:r>
      <w:r w:rsidR="00655581" w:rsidRPr="00655581">
        <w:rPr>
          <w:vertAlign w:val="subscript"/>
        </w:rPr>
        <w:t>2</w:t>
      </w:r>
      <w:r w:rsidR="00655581" w:rsidRPr="00655581">
        <w:t xml:space="preserve"> and PM</w:t>
      </w:r>
      <w:r w:rsidR="00655581" w:rsidRPr="00655581">
        <w:rPr>
          <w:vertAlign w:val="subscript"/>
        </w:rPr>
        <w:t>2.5</w:t>
      </w:r>
      <w:r w:rsidR="00655581" w:rsidRPr="00655581">
        <w:t xml:space="preserve">, as well as other air quality issues </w:t>
      </w:r>
      <w:r w:rsidR="00655581" w:rsidRPr="00655581">
        <w:lastRenderedPageBreak/>
        <w:t>raised by Petitioners</w:t>
      </w:r>
      <w:r w:rsidR="00655581">
        <w:t xml:space="preserve">, would be addressed in a future order to be issued upon completion of </w:t>
      </w:r>
      <w:r w:rsidR="00027475">
        <w:t xml:space="preserve">supplemental </w:t>
      </w:r>
      <w:r w:rsidR="00655581">
        <w:t>environmental review</w:t>
      </w:r>
      <w:r w:rsidR="004B6068">
        <w:t>.</w:t>
      </w:r>
      <w:r w:rsidR="004B6068">
        <w:rPr>
          <w:rStyle w:val="FootnoteReference"/>
        </w:rPr>
        <w:footnoteReference w:id="82"/>
      </w:r>
      <w:r w:rsidR="00DE0880">
        <w:t xml:space="preserve">  The Commission also </w:t>
      </w:r>
      <w:r w:rsidR="00726ECB">
        <w:t>explained that</w:t>
      </w:r>
      <w:r w:rsidR="009C3AD6">
        <w:t xml:space="preserve"> the Authorization Order remained in full force and effect but that</w:t>
      </w:r>
      <w:r w:rsidR="00726ECB">
        <w:t xml:space="preserve"> </w:t>
      </w:r>
      <w:r w:rsidR="00EB1E15" w:rsidRPr="00EB1E15">
        <w:t xml:space="preserve">no authorization to proceed with construction of the </w:t>
      </w:r>
      <w:r w:rsidR="00EB1E15">
        <w:t>Projects</w:t>
      </w:r>
      <w:r w:rsidR="00EB1E15" w:rsidRPr="00EB1E15">
        <w:t xml:space="preserve"> </w:t>
      </w:r>
      <w:r w:rsidR="00EB1E15">
        <w:t>would</w:t>
      </w:r>
      <w:r w:rsidR="00EB1E15" w:rsidRPr="00EB1E15">
        <w:t xml:space="preserve"> be issued</w:t>
      </w:r>
      <w:r w:rsidR="000B1796">
        <w:t xml:space="preserve"> </w:t>
      </w:r>
      <w:r w:rsidR="00EB1E15" w:rsidRPr="00EB1E15">
        <w:t>until the Commission issue</w:t>
      </w:r>
      <w:r w:rsidR="00EB1E15">
        <w:t>d</w:t>
      </w:r>
      <w:r w:rsidR="00EB1E15" w:rsidRPr="00EB1E15">
        <w:t xml:space="preserve"> a further merits order</w:t>
      </w:r>
      <w:r w:rsidR="00EB1E15">
        <w:t>.</w:t>
      </w:r>
      <w:r w:rsidR="005730D3">
        <w:rPr>
          <w:rStyle w:val="FootnoteReference"/>
        </w:rPr>
        <w:footnoteReference w:id="83"/>
      </w:r>
      <w:r w:rsidR="005730D3">
        <w:t xml:space="preserve"> </w:t>
      </w:r>
      <w:r w:rsidR="000B1796">
        <w:t xml:space="preserve"> Venture Global sought rehearing of the Rehearing Order.</w:t>
      </w:r>
    </w:p>
    <w:p w14:paraId="67C1F0C0" w14:textId="77777777" w:rsidR="007D0AE9" w:rsidRDefault="007D0AE9" w:rsidP="007D0AE9">
      <w:pPr>
        <w:pStyle w:val="Heading2"/>
      </w:pPr>
      <w:r>
        <w:t>Supplemental Environmental Review</w:t>
      </w:r>
    </w:p>
    <w:p w14:paraId="163DD7C2" w14:textId="77777777" w:rsidR="007D0AE9" w:rsidRDefault="0052485E" w:rsidP="007D0AE9">
      <w:pPr>
        <w:pStyle w:val="FERCparanumber"/>
      </w:pPr>
      <w:r>
        <w:t>O</w:t>
      </w:r>
      <w:r w:rsidR="006A16A2">
        <w:t xml:space="preserve">n November </w:t>
      </w:r>
      <w:r w:rsidR="009632FE">
        <w:t>27</w:t>
      </w:r>
      <w:r w:rsidR="006A16A2">
        <w:t xml:space="preserve">, 2024, </w:t>
      </w:r>
      <w:r w:rsidR="00164D74">
        <w:t xml:space="preserve">the </w:t>
      </w:r>
      <w:r w:rsidR="00E30AE8" w:rsidRPr="00FF71FA">
        <w:t xml:space="preserve">Commission </w:t>
      </w:r>
      <w:r w:rsidR="00E30AE8">
        <w:t>issued</w:t>
      </w:r>
      <w:r w:rsidR="00E30AE8" w:rsidRPr="00FF71FA">
        <w:t xml:space="preserve"> a </w:t>
      </w:r>
      <w:r w:rsidR="004C2964" w:rsidRPr="004C2964">
        <w:rPr>
          <w:i/>
          <w:iCs/>
        </w:rPr>
        <w:t>Notice of Schedule for the Preparation of a Supplemental Environmental Impact Statement for the CP2 LNG Project and CP Express Pipeline Project</w:t>
      </w:r>
      <w:r w:rsidR="00E30AE8">
        <w:t xml:space="preserve">. </w:t>
      </w:r>
      <w:r w:rsidR="006A16A2">
        <w:t xml:space="preserve"> </w:t>
      </w:r>
      <w:r w:rsidR="0015073B" w:rsidRPr="0015073B">
        <w:t xml:space="preserve">The notice was published in the </w:t>
      </w:r>
      <w:r w:rsidR="00887261">
        <w:t xml:space="preserve">                    </w:t>
      </w:r>
      <w:r w:rsidR="0015073B" w:rsidRPr="7B033358">
        <w:rPr>
          <w:i/>
          <w:iCs/>
        </w:rPr>
        <w:t>Federal Register</w:t>
      </w:r>
      <w:r w:rsidR="004A1CBA">
        <w:t xml:space="preserve"> on December 4, 2024.</w:t>
      </w:r>
      <w:r w:rsidR="0015073B" w:rsidRPr="7B033358">
        <w:rPr>
          <w:b/>
          <w:bCs/>
          <w:vertAlign w:val="superscript"/>
        </w:rPr>
        <w:footnoteReference w:id="84"/>
      </w:r>
      <w:r w:rsidR="0015073B" w:rsidRPr="0015073B">
        <w:t xml:space="preserve"> </w:t>
      </w:r>
      <w:r w:rsidR="001330A6">
        <w:t xml:space="preserve"> </w:t>
      </w:r>
    </w:p>
    <w:p w14:paraId="5D8AF76E" w14:textId="77777777" w:rsidR="00A42B92" w:rsidRDefault="00C2155F" w:rsidP="007D0AE9">
      <w:pPr>
        <w:pStyle w:val="FERCparanumber"/>
      </w:pPr>
      <w:r>
        <w:t xml:space="preserve">On </w:t>
      </w:r>
      <w:r w:rsidR="003F58BE">
        <w:t>December 10, 2024</w:t>
      </w:r>
      <w:r w:rsidR="005723DA">
        <w:t xml:space="preserve">, </w:t>
      </w:r>
      <w:r w:rsidR="003F58BE">
        <w:t xml:space="preserve">Commission staff requested </w:t>
      </w:r>
      <w:r w:rsidR="00A942EA">
        <w:t xml:space="preserve">that </w:t>
      </w:r>
      <w:r w:rsidR="003F58BE">
        <w:t>Venture Global</w:t>
      </w:r>
      <w:r w:rsidR="00887261">
        <w:t xml:space="preserve">:                  </w:t>
      </w:r>
      <w:r w:rsidR="003F58BE">
        <w:t xml:space="preserve">(1) </w:t>
      </w:r>
      <w:r w:rsidR="002F7C03">
        <w:t xml:space="preserve">explain and justify its selection </w:t>
      </w:r>
      <w:r w:rsidR="00F362A8">
        <w:t>o</w:t>
      </w:r>
      <w:r w:rsidR="002F7C03">
        <w:t xml:space="preserve">f the Vinton </w:t>
      </w:r>
      <w:r w:rsidR="00F362A8">
        <w:t>M</w:t>
      </w:r>
      <w:r w:rsidR="002F7C03">
        <w:t xml:space="preserve">onitoring </w:t>
      </w:r>
      <w:r w:rsidR="00F362A8">
        <w:t>S</w:t>
      </w:r>
      <w:r w:rsidR="002F7C03">
        <w:t xml:space="preserve">tation; (2) provide updated and validated air quality background data for the </w:t>
      </w:r>
      <w:r w:rsidR="00556528">
        <w:t xml:space="preserve">CP2 LNG Project and </w:t>
      </w:r>
      <w:r w:rsidR="00881842">
        <w:t>Moss Lake Compressor Station</w:t>
      </w:r>
      <w:r w:rsidR="005723DA">
        <w:t xml:space="preserve">; and (3) update the air quality modeling for the </w:t>
      </w:r>
      <w:r w:rsidR="00881842">
        <w:t>CP2 LNG Project and Moss Lake Compressor Station</w:t>
      </w:r>
      <w:r w:rsidR="00C83A0C">
        <w:t>.</w:t>
      </w:r>
      <w:r w:rsidR="00C83A0C">
        <w:rPr>
          <w:rStyle w:val="FootnoteReference"/>
        </w:rPr>
        <w:footnoteReference w:id="85"/>
      </w:r>
      <w:r w:rsidR="00C83A0C">
        <w:t xml:space="preserve">  On </w:t>
      </w:r>
      <w:r w:rsidR="00722B65">
        <w:t xml:space="preserve">December 23, 2024, Venture Global </w:t>
      </w:r>
      <w:r w:rsidR="00B41A7A">
        <w:t xml:space="preserve">provided the </w:t>
      </w:r>
      <w:r w:rsidR="009444A3">
        <w:t xml:space="preserve">requested </w:t>
      </w:r>
      <w:r w:rsidR="00B41A7A">
        <w:t>information and air modeling.</w:t>
      </w:r>
      <w:r w:rsidR="00B41A7A">
        <w:rPr>
          <w:rStyle w:val="FootnoteReference"/>
        </w:rPr>
        <w:footnoteReference w:id="86"/>
      </w:r>
    </w:p>
    <w:p w14:paraId="37431B84" w14:textId="77777777" w:rsidR="001330A6" w:rsidRDefault="00FF38F2" w:rsidP="007D0AE9">
      <w:pPr>
        <w:pStyle w:val="FERCparanumber"/>
      </w:pPr>
      <w:r>
        <w:t xml:space="preserve">On </w:t>
      </w:r>
      <w:r w:rsidR="00C21976">
        <w:t xml:space="preserve">February 7, 2025, </w:t>
      </w:r>
      <w:r w:rsidR="001330A6" w:rsidRPr="001330A6">
        <w:t xml:space="preserve">Commission staff </w:t>
      </w:r>
      <w:r w:rsidR="00CD37AE">
        <w:t>issued</w:t>
      </w:r>
      <w:r w:rsidR="001330A6" w:rsidRPr="001330A6">
        <w:t xml:space="preserve"> a draft</w:t>
      </w:r>
      <w:r w:rsidR="001330A6">
        <w:t xml:space="preserve"> supplemental</w:t>
      </w:r>
      <w:r w:rsidR="001330A6" w:rsidRPr="001330A6">
        <w:t xml:space="preserve"> EIS for the </w:t>
      </w:r>
      <w:r w:rsidR="001330A6">
        <w:t>P</w:t>
      </w:r>
      <w:r w:rsidR="001330A6" w:rsidRPr="001330A6">
        <w:t xml:space="preserve">rojects, </w:t>
      </w:r>
      <w:r w:rsidR="005151A0">
        <w:t xml:space="preserve">that </w:t>
      </w:r>
      <w:r w:rsidR="003A2E67" w:rsidRPr="003A2E67">
        <w:t>addressed</w:t>
      </w:r>
      <w:r w:rsidR="001330A6">
        <w:t xml:space="preserve"> </w:t>
      </w:r>
      <w:r w:rsidR="00F41C0A" w:rsidRPr="00F41C0A">
        <w:t>cumulative air impacts for NO</w:t>
      </w:r>
      <w:r w:rsidR="00F41C0A" w:rsidRPr="00F41C0A">
        <w:rPr>
          <w:vertAlign w:val="subscript"/>
        </w:rPr>
        <w:t>2</w:t>
      </w:r>
      <w:r w:rsidR="00F41C0A" w:rsidRPr="00F41C0A">
        <w:t xml:space="preserve"> and PM</w:t>
      </w:r>
      <w:r w:rsidR="00F41C0A" w:rsidRPr="00F41C0A">
        <w:rPr>
          <w:vertAlign w:val="subscript"/>
        </w:rPr>
        <w:t>2.5</w:t>
      </w:r>
      <w:r w:rsidR="00F41C0A">
        <w:t xml:space="preserve">. </w:t>
      </w:r>
      <w:r w:rsidR="008E1F0A">
        <w:t xml:space="preserve"> </w:t>
      </w:r>
      <w:r w:rsidR="00FA4D76" w:rsidRPr="00FA4D76">
        <w:t xml:space="preserve">Notice of the draft </w:t>
      </w:r>
      <w:r w:rsidR="00FA4D76">
        <w:t xml:space="preserve">supplemental </w:t>
      </w:r>
      <w:r w:rsidR="00FA4D76" w:rsidRPr="00FA4D76">
        <w:t xml:space="preserve">EIS was published in the </w:t>
      </w:r>
      <w:r w:rsidR="00FA4D76" w:rsidRPr="00FA4D76">
        <w:rPr>
          <w:i/>
          <w:iCs/>
        </w:rPr>
        <w:t>Federal Register</w:t>
      </w:r>
      <w:r w:rsidR="00FA4D76" w:rsidRPr="00FA4D76">
        <w:t xml:space="preserve"> on </w:t>
      </w:r>
      <w:r w:rsidR="00B74CB4">
        <w:t>February 13, 2025</w:t>
      </w:r>
      <w:r w:rsidR="00B74CB4" w:rsidRPr="00FA4D76">
        <w:rPr>
          <w:b/>
          <w:vertAlign w:val="superscript"/>
        </w:rPr>
        <w:footnoteReference w:id="87"/>
      </w:r>
      <w:r w:rsidR="00F22BE0">
        <w:t xml:space="preserve"> and </w:t>
      </w:r>
      <w:r w:rsidR="00F22BE0" w:rsidRPr="000B7248">
        <w:t>mailed to Commission staff’s environmental mailing list</w:t>
      </w:r>
      <w:r w:rsidR="00F22BE0">
        <w:t>.</w:t>
      </w:r>
      <w:r w:rsidR="00B74CB4" w:rsidRPr="00FA4D76">
        <w:t xml:space="preserve"> </w:t>
      </w:r>
      <w:r w:rsidR="004A13BE">
        <w:t xml:space="preserve"> The notice established</w:t>
      </w:r>
      <w:r w:rsidR="00E000E2">
        <w:t xml:space="preserve"> </w:t>
      </w:r>
      <w:r w:rsidR="00887261">
        <w:t xml:space="preserve">            </w:t>
      </w:r>
      <w:r w:rsidR="00E000E2">
        <w:t xml:space="preserve">March 31, 2025, as the deadline for filing </w:t>
      </w:r>
      <w:r w:rsidR="00E57A86">
        <w:t xml:space="preserve">comments </w:t>
      </w:r>
      <w:r w:rsidR="00257D25">
        <w:t>or motions to intervene</w:t>
      </w:r>
      <w:r w:rsidR="00FA4D76" w:rsidRPr="00FA4D76">
        <w:t>.</w:t>
      </w:r>
      <w:r w:rsidR="00E7271C">
        <w:rPr>
          <w:rStyle w:val="FootnoteReference"/>
        </w:rPr>
        <w:footnoteReference w:id="88"/>
      </w:r>
      <w:r w:rsidR="000235F3">
        <w:t xml:space="preserve"> </w:t>
      </w:r>
      <w:r w:rsidR="000B7248">
        <w:t xml:space="preserve"> </w:t>
      </w:r>
    </w:p>
    <w:p w14:paraId="248367A7" w14:textId="77777777" w:rsidR="000235F3" w:rsidRDefault="000235F3" w:rsidP="007D0AE9">
      <w:pPr>
        <w:pStyle w:val="FERCparanumber"/>
      </w:pPr>
      <w:r w:rsidRPr="00C32C06">
        <w:t xml:space="preserve">In response to the draft supplemental EIS, the Commission received </w:t>
      </w:r>
      <w:r w:rsidR="003076E3" w:rsidRPr="00C32C06">
        <w:t xml:space="preserve">written comments from federal agencies, </w:t>
      </w:r>
      <w:r w:rsidR="00751B26" w:rsidRPr="00C32C06">
        <w:t>T</w:t>
      </w:r>
      <w:r w:rsidR="00CC2921" w:rsidRPr="00C32C06">
        <w:t>ribes</w:t>
      </w:r>
      <w:r w:rsidR="003076E3" w:rsidRPr="00C32C06">
        <w:t>,</w:t>
      </w:r>
      <w:r w:rsidR="00132B66" w:rsidRPr="00C32C06">
        <w:t xml:space="preserve"> </w:t>
      </w:r>
      <w:r w:rsidR="003076E3" w:rsidRPr="00C32C06">
        <w:t xml:space="preserve">companies and non-governmental organizations, and individuals.  Primary issues raised by the commenters relate to </w:t>
      </w:r>
      <w:r w:rsidR="00206AF1">
        <w:t xml:space="preserve">air </w:t>
      </w:r>
      <w:r w:rsidR="00206AF1">
        <w:lastRenderedPageBreak/>
        <w:t>quality</w:t>
      </w:r>
      <w:r w:rsidR="00B61502">
        <w:t>,</w:t>
      </w:r>
      <w:r w:rsidR="00206AF1">
        <w:t xml:space="preserve"> as well as </w:t>
      </w:r>
      <w:r w:rsidR="006C41D1" w:rsidRPr="00C32C06">
        <w:t xml:space="preserve">project need, alternatives, </w:t>
      </w:r>
      <w:r w:rsidR="000E12C1" w:rsidRPr="00C32C06">
        <w:t xml:space="preserve">wildlife, wetlands, cumulative </w:t>
      </w:r>
      <w:r w:rsidR="006D28AB" w:rsidRPr="00C32C06">
        <w:t>impact</w:t>
      </w:r>
      <w:r w:rsidR="00905488" w:rsidRPr="00C32C06">
        <w:t xml:space="preserve">s, environmental justice, noise, </w:t>
      </w:r>
      <w:r w:rsidR="00B36897" w:rsidRPr="00C32C06">
        <w:t>and socioeconomics</w:t>
      </w:r>
      <w:r w:rsidR="003076E3" w:rsidRPr="00FC40F2">
        <w:t>.</w:t>
      </w:r>
    </w:p>
    <w:p w14:paraId="602C3D32" w14:textId="77777777" w:rsidR="00EB091D" w:rsidRDefault="00EB091D" w:rsidP="007D0AE9">
      <w:pPr>
        <w:pStyle w:val="FERCparanumber"/>
      </w:pPr>
      <w:r w:rsidRPr="00EB091D">
        <w:t xml:space="preserve">Commission staff issued the final </w:t>
      </w:r>
      <w:r>
        <w:t>supplemental EIS</w:t>
      </w:r>
      <w:r w:rsidRPr="00EB091D">
        <w:t xml:space="preserve"> for the </w:t>
      </w:r>
      <w:r>
        <w:t>P</w:t>
      </w:r>
      <w:r w:rsidRPr="00EB091D">
        <w:t xml:space="preserve">rojects on </w:t>
      </w:r>
      <w:r w:rsidR="00A810EB">
        <w:t>May 9, 2025</w:t>
      </w:r>
      <w:r w:rsidR="00A810EB" w:rsidRPr="00EB091D">
        <w:t xml:space="preserve">.  </w:t>
      </w:r>
      <w:r w:rsidRPr="00EB091D">
        <w:t xml:space="preserve">The </w:t>
      </w:r>
      <w:r w:rsidRPr="00EB091D">
        <w:rPr>
          <w:i/>
          <w:iCs/>
        </w:rPr>
        <w:t>Notice of Availability</w:t>
      </w:r>
      <w:r w:rsidRPr="00EB091D">
        <w:t xml:space="preserve"> of the final </w:t>
      </w:r>
      <w:r w:rsidR="0094398C">
        <w:t xml:space="preserve">supplemental </w:t>
      </w:r>
      <w:r w:rsidRPr="00EB091D">
        <w:t xml:space="preserve">EIS was published in the </w:t>
      </w:r>
      <w:r w:rsidRPr="00EB091D">
        <w:rPr>
          <w:i/>
          <w:iCs/>
        </w:rPr>
        <w:t>Federal Register</w:t>
      </w:r>
      <w:r w:rsidRPr="00EB091D">
        <w:t xml:space="preserve"> on </w:t>
      </w:r>
      <w:r w:rsidR="003A4B42" w:rsidRPr="00543212">
        <w:t>May 15, 2025</w:t>
      </w:r>
      <w:r w:rsidRPr="00EB091D">
        <w:rPr>
          <w:b/>
          <w:vertAlign w:val="superscript"/>
        </w:rPr>
        <w:footnoteReference w:id="89"/>
      </w:r>
      <w:r w:rsidRPr="00EB091D">
        <w:t xml:space="preserve"> and mailed to Commission staff’s environmental mailing list.  The final</w:t>
      </w:r>
      <w:r w:rsidR="000B7248">
        <w:t xml:space="preserve"> supplemental</w:t>
      </w:r>
      <w:r w:rsidRPr="00EB091D">
        <w:t xml:space="preserve"> EIS addresses</w:t>
      </w:r>
      <w:r w:rsidR="006F2D35" w:rsidRPr="006F2D35">
        <w:t xml:space="preserve"> </w:t>
      </w:r>
      <w:r w:rsidR="006F2D35" w:rsidRPr="00F41C0A">
        <w:t>cumulative air impacts for NO</w:t>
      </w:r>
      <w:r w:rsidR="006F2D35" w:rsidRPr="00F41C0A">
        <w:rPr>
          <w:vertAlign w:val="subscript"/>
        </w:rPr>
        <w:t>2</w:t>
      </w:r>
      <w:r w:rsidR="006F2D35" w:rsidRPr="00F41C0A">
        <w:t xml:space="preserve"> and PM</w:t>
      </w:r>
      <w:r w:rsidR="006F2D35" w:rsidRPr="00F41C0A">
        <w:rPr>
          <w:vertAlign w:val="subscript"/>
        </w:rPr>
        <w:t>2.5</w:t>
      </w:r>
      <w:r w:rsidR="006F2D35">
        <w:t xml:space="preserve">.  </w:t>
      </w:r>
      <w:r w:rsidRPr="00EB091D">
        <w:t xml:space="preserve">It also addresses all environmental comments </w:t>
      </w:r>
      <w:r w:rsidR="00801C19">
        <w:t>that were</w:t>
      </w:r>
      <w:r w:rsidRPr="00EB091D">
        <w:t xml:space="preserve"> </w:t>
      </w:r>
      <w:r w:rsidR="0079222D">
        <w:t>within the scope of</w:t>
      </w:r>
      <w:r w:rsidRPr="00EB091D">
        <w:t xml:space="preserve"> the draft </w:t>
      </w:r>
      <w:r w:rsidR="006F2D35">
        <w:t xml:space="preserve">supplemental </w:t>
      </w:r>
      <w:r w:rsidRPr="00EB091D">
        <w:t>EIS.</w:t>
      </w:r>
      <w:r w:rsidR="00987056">
        <w:t xml:space="preserve">  </w:t>
      </w:r>
      <w:r w:rsidR="00987056" w:rsidRPr="00444D6C">
        <w:t>In response to the final supplemental EIS</w:t>
      </w:r>
      <w:r w:rsidR="00362BF9" w:rsidRPr="00444D6C">
        <w:t xml:space="preserve">, the Commission received </w:t>
      </w:r>
      <w:r w:rsidR="00376FBC" w:rsidRPr="00444D6C">
        <w:t xml:space="preserve">one written comment </w:t>
      </w:r>
      <w:r w:rsidR="00EF56B7" w:rsidRPr="00444D6C">
        <w:t>from an individual</w:t>
      </w:r>
      <w:r w:rsidR="00583FBE" w:rsidRPr="00444D6C">
        <w:t xml:space="preserve"> regarding wildlife</w:t>
      </w:r>
      <w:r w:rsidR="005C63BD" w:rsidRPr="00444D6C">
        <w:t xml:space="preserve">, which is outside the scope </w:t>
      </w:r>
      <w:r w:rsidR="00382C66" w:rsidRPr="00444D6C">
        <w:t xml:space="preserve">of </w:t>
      </w:r>
      <w:r w:rsidR="000851D7" w:rsidRPr="00444D6C">
        <w:t>the final supplemental EIS</w:t>
      </w:r>
      <w:r w:rsidR="00583FBE" w:rsidRPr="00444D6C">
        <w:t>.</w:t>
      </w:r>
      <w:r w:rsidR="000851D7" w:rsidRPr="00444D6C">
        <w:rPr>
          <w:rStyle w:val="FootnoteReference"/>
        </w:rPr>
        <w:footnoteReference w:id="90"/>
      </w:r>
      <w:r w:rsidR="00583FBE">
        <w:t xml:space="preserve">  </w:t>
      </w:r>
    </w:p>
    <w:p w14:paraId="1C34849A" w14:textId="77777777" w:rsidR="001F41C5" w:rsidRPr="007D0AE9" w:rsidRDefault="001072D5" w:rsidP="007D0AE9">
      <w:pPr>
        <w:pStyle w:val="FERCparanumber"/>
      </w:pPr>
      <w:r>
        <w:t xml:space="preserve">As disclosed in the final supplemental EIS, </w:t>
      </w:r>
      <w:r w:rsidR="00F9011F">
        <w:t xml:space="preserve">project emissions either fell below the applicable SIL </w:t>
      </w:r>
      <w:r w:rsidR="00DF0758">
        <w:t xml:space="preserve">in step one or </w:t>
      </w:r>
      <w:r w:rsidR="00E8125B">
        <w:t>the area concentrations complied with NAAQS.</w:t>
      </w:r>
      <w:r w:rsidR="00ED74A2">
        <w:t xml:space="preserve">  </w:t>
      </w:r>
      <w:r w:rsidR="009F72DD">
        <w:t>As discussed below, t</w:t>
      </w:r>
      <w:r w:rsidR="001F41C5" w:rsidRPr="001F41C5">
        <w:t xml:space="preserve">he </w:t>
      </w:r>
      <w:r w:rsidR="004F2B1A">
        <w:t>f</w:t>
      </w:r>
      <w:r w:rsidR="001F41C5" w:rsidRPr="001F41C5">
        <w:t xml:space="preserve">inal </w:t>
      </w:r>
      <w:r w:rsidR="001B157A">
        <w:t>s</w:t>
      </w:r>
      <w:r w:rsidR="001F41C5" w:rsidRPr="001F41C5">
        <w:t>upplemental EIS</w:t>
      </w:r>
      <w:r w:rsidR="004056F0">
        <w:t xml:space="preserve"> concludes</w:t>
      </w:r>
      <w:r w:rsidR="00B76E13">
        <w:t>, and we agree,</w:t>
      </w:r>
      <w:r w:rsidR="004056F0">
        <w:t xml:space="preserve"> that </w:t>
      </w:r>
      <w:r w:rsidR="00B6276D" w:rsidRPr="00B6276D">
        <w:t>the emission impacts, including 1-hour NO</w:t>
      </w:r>
      <w:r w:rsidR="00B6276D" w:rsidRPr="00B6276D">
        <w:rPr>
          <w:vertAlign w:val="subscript"/>
        </w:rPr>
        <w:t>2</w:t>
      </w:r>
      <w:r w:rsidR="00B6276D" w:rsidRPr="00B6276D">
        <w:t xml:space="preserve"> and annual </w:t>
      </w:r>
      <w:r w:rsidR="00764447">
        <w:t>and 24-hour</w:t>
      </w:r>
      <w:r w:rsidR="00B6276D" w:rsidRPr="00B6276D">
        <w:t xml:space="preserve"> PM</w:t>
      </w:r>
      <w:r w:rsidR="00B6276D" w:rsidRPr="00B6276D">
        <w:rPr>
          <w:vertAlign w:val="subscript"/>
        </w:rPr>
        <w:t>2.5</w:t>
      </w:r>
      <w:r w:rsidR="00B6276D" w:rsidRPr="00B6276D">
        <w:t xml:space="preserve"> impacts from the Moss Lake Compressor Station and CP2 LNG </w:t>
      </w:r>
      <w:r w:rsidR="00B6276D">
        <w:t>Project</w:t>
      </w:r>
      <w:r w:rsidR="00B6276D" w:rsidRPr="00B6276D">
        <w:t>, when combined with past, present, and reasonably foreseeable emissions within the regional air environment, are not significant.</w:t>
      </w:r>
      <w:r w:rsidR="00B6276D">
        <w:rPr>
          <w:rStyle w:val="FootnoteReference"/>
        </w:rPr>
        <w:footnoteReference w:id="91"/>
      </w:r>
      <w:r w:rsidR="00C63EB1">
        <w:t xml:space="preserve">  </w:t>
      </w:r>
    </w:p>
    <w:p w14:paraId="25CFCED4" w14:textId="77777777" w:rsidR="000A53C5" w:rsidRDefault="009B407E" w:rsidP="009B407E">
      <w:pPr>
        <w:pStyle w:val="Heading1"/>
      </w:pPr>
      <w:r>
        <w:t>Interventions</w:t>
      </w:r>
    </w:p>
    <w:p w14:paraId="303E6E69" w14:textId="77777777" w:rsidR="00F83E7B" w:rsidRPr="00F83E7B" w:rsidRDefault="00967E88" w:rsidP="00F83E7B">
      <w:pPr>
        <w:pStyle w:val="FERCparanumber"/>
      </w:pPr>
      <w:r>
        <w:t xml:space="preserve">On March 31, 2025, Fisherman Involved in Sustaining our Heritage (FISH) and </w:t>
      </w:r>
      <w:r w:rsidR="006360D6">
        <w:t>James Steven Broussard, Cheryl Kim Broussard, J.S</w:t>
      </w:r>
      <w:r w:rsidR="00766A79">
        <w:t>. Broussard Farms, LLC, Eric Paul</w:t>
      </w:r>
      <w:r w:rsidR="009C0CEE">
        <w:t xml:space="preserve"> Dugas, Blair Gayle Dugas</w:t>
      </w:r>
      <w:r w:rsidR="00D5178D">
        <w:t xml:space="preserve">, Henning Management, LLC, and Thornwell Hunting Club, </w:t>
      </w:r>
      <w:r w:rsidR="00D5178D">
        <w:lastRenderedPageBreak/>
        <w:t>LLC, filed</w:t>
      </w:r>
      <w:r w:rsidR="00DA138C">
        <w:t xml:space="preserve"> timely</w:t>
      </w:r>
      <w:r w:rsidR="00D5178D">
        <w:t xml:space="preserve"> </w:t>
      </w:r>
      <w:r w:rsidR="00DA6CBA">
        <w:t xml:space="preserve">unopposed </w:t>
      </w:r>
      <w:r w:rsidR="00D5178D">
        <w:t>motions to intervene</w:t>
      </w:r>
      <w:r w:rsidR="001B1113">
        <w:t xml:space="preserve"> based on the </w:t>
      </w:r>
      <w:r w:rsidR="00E133E5">
        <w:t xml:space="preserve">issuance of the </w:t>
      </w:r>
      <w:r w:rsidR="00FE2337">
        <w:t xml:space="preserve">draft </w:t>
      </w:r>
      <w:r w:rsidR="00E133E5">
        <w:t>supplemental EIS</w:t>
      </w:r>
      <w:r w:rsidR="00C24620">
        <w:t>,</w:t>
      </w:r>
      <w:r w:rsidR="004C3D56">
        <w:rPr>
          <w:rStyle w:val="FootnoteReference"/>
        </w:rPr>
        <w:footnoteReference w:id="92"/>
      </w:r>
      <w:r w:rsidR="00714F0C">
        <w:t xml:space="preserve"> which are </w:t>
      </w:r>
      <w:r w:rsidR="00DA6CBA">
        <w:t>granted.</w:t>
      </w:r>
      <w:r w:rsidR="00DA6CBA">
        <w:rPr>
          <w:rStyle w:val="FootnoteReference"/>
        </w:rPr>
        <w:footnoteReference w:id="93"/>
      </w:r>
      <w:r w:rsidR="00D5178D">
        <w:t xml:space="preserve"> </w:t>
      </w:r>
    </w:p>
    <w:p w14:paraId="661E925A" w14:textId="77777777" w:rsidR="001276F4" w:rsidRDefault="001276F4" w:rsidP="001276F4">
      <w:pPr>
        <w:pStyle w:val="Heading1"/>
      </w:pPr>
      <w:r>
        <w:t>Procedural Issues</w:t>
      </w:r>
    </w:p>
    <w:p w14:paraId="3DE1693A" w14:textId="77777777" w:rsidR="00F83E7B" w:rsidRDefault="00F83E7B" w:rsidP="00F83E7B">
      <w:pPr>
        <w:pStyle w:val="Heading2"/>
      </w:pPr>
      <w:r w:rsidRPr="00F83E7B">
        <w:t>Venture Global’s Answer to Petitioners’ Request for Rehearing</w:t>
      </w:r>
    </w:p>
    <w:p w14:paraId="0B8EAA71" w14:textId="77777777" w:rsidR="00F83E7B" w:rsidRDefault="00C73F33" w:rsidP="00F83E7B">
      <w:pPr>
        <w:pStyle w:val="FERCparanumber"/>
      </w:pPr>
      <w:r>
        <w:t xml:space="preserve">On rehearing, </w:t>
      </w:r>
      <w:r w:rsidR="00F83E7B">
        <w:t xml:space="preserve">Venture Global argues that the Commission </w:t>
      </w:r>
      <w:r>
        <w:t xml:space="preserve">erred by rejecting </w:t>
      </w:r>
      <w:r w:rsidR="00F83E7B">
        <w:t>its August 13, 2024 answer to Petitioners’ request for rehearing.</w:t>
      </w:r>
      <w:r w:rsidR="00F83E7B">
        <w:rPr>
          <w:rStyle w:val="FootnoteReference"/>
        </w:rPr>
        <w:footnoteReference w:id="94"/>
      </w:r>
      <w:r w:rsidR="00F83E7B">
        <w:t xml:space="preserve">  According to Venture Global, </w:t>
      </w:r>
      <w:r w:rsidR="0084271D">
        <w:t>its a</w:t>
      </w:r>
      <w:r w:rsidR="00F83E7B">
        <w:t>nswer included a discussion of how the Commission could respond to Petitioners’ challenge of the cumulative air impacts analysis of NO</w:t>
      </w:r>
      <w:r w:rsidR="00F83E7B" w:rsidRPr="001B106F">
        <w:rPr>
          <w:vertAlign w:val="subscript"/>
        </w:rPr>
        <w:t>2</w:t>
      </w:r>
      <w:r w:rsidR="00F83E7B">
        <w:t xml:space="preserve"> and PM</w:t>
      </w:r>
      <w:r w:rsidR="00F83E7B" w:rsidRPr="001B106F">
        <w:rPr>
          <w:vertAlign w:val="subscript"/>
        </w:rPr>
        <w:t>2.5</w:t>
      </w:r>
      <w:r w:rsidR="00F83E7B">
        <w:t xml:space="preserve"> and the usefulness of further explanation in light of the D.C. Circuit’s decision in </w:t>
      </w:r>
      <w:r w:rsidR="00F83E7B" w:rsidRPr="00486374">
        <w:rPr>
          <w:i/>
          <w:iCs/>
        </w:rPr>
        <w:t>Healthy Gulf</w:t>
      </w:r>
      <w:r w:rsidR="00F83E7B">
        <w:t>.</w:t>
      </w:r>
      <w:r w:rsidR="00F83E7B">
        <w:rPr>
          <w:rStyle w:val="FootnoteReference"/>
        </w:rPr>
        <w:footnoteReference w:id="95"/>
      </w:r>
      <w:r w:rsidR="00F83E7B">
        <w:t xml:space="preserve">  </w:t>
      </w:r>
      <w:r w:rsidR="00464D1C">
        <w:t>It</w:t>
      </w:r>
      <w:r w:rsidR="00F83E7B">
        <w:t xml:space="preserve"> also asserts that the </w:t>
      </w:r>
      <w:r w:rsidR="0084271D">
        <w:t>a</w:t>
      </w:r>
      <w:r w:rsidR="00F83E7B">
        <w:t xml:space="preserve">nswer included a discussion of harm that would result from a stay </w:t>
      </w:r>
      <w:r w:rsidR="00B0659C">
        <w:t xml:space="preserve">of </w:t>
      </w:r>
      <w:r w:rsidR="00F83E7B">
        <w:t>construction authorizations which the Commission should have considered.</w:t>
      </w:r>
      <w:r w:rsidR="00F83E7B">
        <w:rPr>
          <w:rStyle w:val="FootnoteReference"/>
        </w:rPr>
        <w:footnoteReference w:id="96"/>
      </w:r>
      <w:r w:rsidR="00F83E7B">
        <w:t xml:space="preserve">  </w:t>
      </w:r>
      <w:r w:rsidR="005E55D4">
        <w:t>It maintains</w:t>
      </w:r>
      <w:r w:rsidR="00F83E7B">
        <w:t xml:space="preserve"> that the Commission summarily rejected its </w:t>
      </w:r>
      <w:r w:rsidR="0084271D">
        <w:t>a</w:t>
      </w:r>
      <w:r w:rsidR="00F83E7B">
        <w:t xml:space="preserve">nswer without explanation despite providing explanation for its rejection of FISH’s </w:t>
      </w:r>
      <w:r w:rsidR="00B34950">
        <w:t xml:space="preserve">late </w:t>
      </w:r>
      <w:r w:rsidR="00F83E7B">
        <w:t xml:space="preserve">motion to intervene, and that Commission precedent provides insufficient guidance for when an answer to a request for </w:t>
      </w:r>
      <w:r w:rsidR="00F83E7B">
        <w:lastRenderedPageBreak/>
        <w:t>rehearing will assist the Commission’s decision-making.</w:t>
      </w:r>
      <w:r w:rsidR="00F83E7B">
        <w:rPr>
          <w:rStyle w:val="FootnoteReference"/>
        </w:rPr>
        <w:footnoteReference w:id="97"/>
      </w:r>
      <w:r w:rsidR="00F426C7">
        <w:t xml:space="preserve">  </w:t>
      </w:r>
      <w:r w:rsidR="006B1C38">
        <w:t>It</w:t>
      </w:r>
      <w:r w:rsidR="00F426C7">
        <w:t xml:space="preserve"> also asserts, without support, that there is no longer any bar preventing the Commission from considering its </w:t>
      </w:r>
      <w:r w:rsidR="0084271D">
        <w:t>a</w:t>
      </w:r>
      <w:r w:rsidR="00F426C7">
        <w:t>nswer.</w:t>
      </w:r>
      <w:r w:rsidR="00F426C7">
        <w:rPr>
          <w:rStyle w:val="FootnoteReference"/>
        </w:rPr>
        <w:footnoteReference w:id="98"/>
      </w:r>
      <w:r w:rsidR="00F426C7">
        <w:t xml:space="preserve">  </w:t>
      </w:r>
    </w:p>
    <w:p w14:paraId="7B2D78C1" w14:textId="77777777" w:rsidR="00F83E7B" w:rsidRDefault="00A16E5B" w:rsidP="00CC21B3">
      <w:pPr>
        <w:pStyle w:val="FERCparanumber"/>
      </w:pPr>
      <w:r>
        <w:t xml:space="preserve">We continue to reject Venture Global’s </w:t>
      </w:r>
      <w:r w:rsidR="00CD1D61">
        <w:t>a</w:t>
      </w:r>
      <w:r w:rsidR="00607D3D">
        <w:t>nswer</w:t>
      </w:r>
      <w:r w:rsidR="00B0659C">
        <w:t xml:space="preserve"> </w:t>
      </w:r>
      <w:r w:rsidR="00CD1D61">
        <w:t xml:space="preserve">to Petitioners’ request for rehearing of the Authorization Order.  </w:t>
      </w:r>
      <w:r w:rsidR="00607D3D">
        <w:t xml:space="preserve">Rule 213 </w:t>
      </w:r>
      <w:r w:rsidR="00D250E5">
        <w:t xml:space="preserve">of the Commission’s Rules of Practice and Procedure </w:t>
      </w:r>
      <w:r w:rsidR="00607D3D">
        <w:t>states that “an answer</w:t>
      </w:r>
      <w:r w:rsidR="009A410A">
        <w:t xml:space="preserve"> may not be made to a . . . request for rehearing, unless otherwise ordered by the decisional authority.”</w:t>
      </w:r>
      <w:r w:rsidR="009A410A">
        <w:rPr>
          <w:rStyle w:val="FootnoteReference"/>
        </w:rPr>
        <w:footnoteReference w:id="99"/>
      </w:r>
      <w:r w:rsidR="00457669">
        <w:t xml:space="preserve">  Similarly, Rule 713 states that “the Commission will not permit answers to request for rehearing.”</w:t>
      </w:r>
      <w:r w:rsidR="00457669">
        <w:rPr>
          <w:rStyle w:val="FootnoteReference"/>
        </w:rPr>
        <w:footnoteReference w:id="100"/>
      </w:r>
      <w:r w:rsidR="00514EBB">
        <w:t xml:space="preserve">  </w:t>
      </w:r>
      <w:r w:rsidR="00DE4C23">
        <w:t>Although</w:t>
      </w:r>
      <w:r w:rsidR="00514EBB">
        <w:t xml:space="preserve"> the Commission</w:t>
      </w:r>
      <w:r w:rsidR="00347104">
        <w:t xml:space="preserve"> has found occasion</w:t>
      </w:r>
      <w:r w:rsidR="00514EBB">
        <w:t xml:space="preserve">, on a case-by-case basis, to </w:t>
      </w:r>
      <w:r w:rsidR="00481FDC">
        <w:t>accept an otherwise prohibited answer to a request for rehearing</w:t>
      </w:r>
      <w:r w:rsidR="00554188">
        <w:t>,</w:t>
      </w:r>
      <w:r w:rsidR="001E72A2">
        <w:rPr>
          <w:rStyle w:val="FootnoteReference"/>
        </w:rPr>
        <w:footnoteReference w:id="101"/>
      </w:r>
      <w:r w:rsidR="00617BBA">
        <w:t xml:space="preserve"> the interests of administrative efficiency and finality support the Commission’s general approach of rejecting answers to rehearing requests</w:t>
      </w:r>
      <w:r w:rsidR="00307049">
        <w:t>.</w:t>
      </w:r>
      <w:r w:rsidR="00307049">
        <w:rPr>
          <w:rStyle w:val="FootnoteReference"/>
        </w:rPr>
        <w:footnoteReference w:id="102"/>
      </w:r>
      <w:r w:rsidR="001E72A2">
        <w:t xml:space="preserve"> </w:t>
      </w:r>
      <w:r w:rsidR="00111743">
        <w:t xml:space="preserve"> </w:t>
      </w:r>
      <w:r w:rsidR="00E338E8">
        <w:t>Venture Global</w:t>
      </w:r>
      <w:r w:rsidR="001742A1">
        <w:t xml:space="preserve">’s motion for leave to respond to </w:t>
      </w:r>
      <w:r w:rsidR="00772BC2">
        <w:t xml:space="preserve">Petitioners’ rehearing request </w:t>
      </w:r>
      <w:r w:rsidR="00E065AF">
        <w:t>contained only</w:t>
      </w:r>
      <w:r w:rsidR="00772BC2">
        <w:t xml:space="preserve"> a bare assertion that its answer </w:t>
      </w:r>
      <w:r w:rsidR="00E065AF">
        <w:t>would</w:t>
      </w:r>
      <w:r w:rsidR="00772BC2">
        <w:t xml:space="preserve"> assist in the Commission’s decision-making process, without context or further explanation.</w:t>
      </w:r>
      <w:r w:rsidR="009119A5">
        <w:rPr>
          <w:rStyle w:val="FootnoteReference"/>
        </w:rPr>
        <w:footnoteReference w:id="103"/>
      </w:r>
      <w:r w:rsidR="00772BC2">
        <w:t xml:space="preserve">  </w:t>
      </w:r>
      <w:r w:rsidR="009119A5">
        <w:t xml:space="preserve">We continue to find </w:t>
      </w:r>
      <w:r w:rsidR="009119A5">
        <w:lastRenderedPageBreak/>
        <w:t xml:space="preserve">this insufficient to overcome the Commission’s </w:t>
      </w:r>
      <w:r w:rsidR="00160E80">
        <w:t>generally applicable reasons for</w:t>
      </w:r>
      <w:r w:rsidR="009119A5">
        <w:t xml:space="preserve"> rejecting answers to requests for rehearing.</w:t>
      </w:r>
      <w:r w:rsidR="00C73F33" w:rsidRPr="00C73F33">
        <w:rPr>
          <w:b/>
          <w:vertAlign w:val="superscript"/>
        </w:rPr>
        <w:footnoteReference w:id="104"/>
      </w:r>
      <w:r w:rsidR="00C73F33" w:rsidRPr="00C73F33">
        <w:t xml:space="preserve"> </w:t>
      </w:r>
      <w:r w:rsidR="009119A5">
        <w:t xml:space="preserve"> </w:t>
      </w:r>
      <w:r w:rsidR="001742A1">
        <w:t xml:space="preserve"> </w:t>
      </w:r>
    </w:p>
    <w:p w14:paraId="1A7E7DCD" w14:textId="77777777" w:rsidR="00FA0E26" w:rsidRDefault="00DE4C23" w:rsidP="00FA0E26">
      <w:pPr>
        <w:pStyle w:val="FERCparanumber"/>
      </w:pPr>
      <w:r>
        <w:t xml:space="preserve">We also disagree that </w:t>
      </w:r>
      <w:r w:rsidR="00B3115F">
        <w:t>the Commission should now accept</w:t>
      </w:r>
      <w:r>
        <w:t xml:space="preserve"> </w:t>
      </w:r>
      <w:r w:rsidR="00565892">
        <w:t>Venture Global’s a</w:t>
      </w:r>
      <w:r>
        <w:t xml:space="preserve">nswer.  </w:t>
      </w:r>
      <w:r w:rsidR="00582B3B">
        <w:t xml:space="preserve">As an initial matter, </w:t>
      </w:r>
      <w:r w:rsidR="00BA3B34">
        <w:t>under the NGA, “t</w:t>
      </w:r>
      <w:r w:rsidR="00BA3B34" w:rsidRPr="00BA3B34">
        <w:t>he application for rehearing shall set forth</w:t>
      </w:r>
      <w:r w:rsidR="00BA3B34">
        <w:t xml:space="preserve"> </w:t>
      </w:r>
      <w:r w:rsidR="00BA3B34" w:rsidRPr="00BA3B34">
        <w:rPr>
          <w:i/>
          <w:iCs/>
        </w:rPr>
        <w:t>specifically</w:t>
      </w:r>
      <w:r w:rsidR="00BA3B34">
        <w:t xml:space="preserve"> </w:t>
      </w:r>
      <w:r w:rsidR="00BA3B34" w:rsidRPr="00BA3B34">
        <w:t>the ground or grounds upon which such application is based</w:t>
      </w:r>
      <w:r w:rsidR="00BA3B34">
        <w:t>.”</w:t>
      </w:r>
      <w:r w:rsidR="00BA3B34">
        <w:rPr>
          <w:rStyle w:val="FootnoteReference"/>
        </w:rPr>
        <w:footnoteReference w:id="105"/>
      </w:r>
      <w:r w:rsidR="009A12FE">
        <w:t xml:space="preserve">  The Commission’s practice, with which courts have agree</w:t>
      </w:r>
      <w:r w:rsidR="0028106D">
        <w:t>d</w:t>
      </w:r>
      <w:r w:rsidR="009A12FE">
        <w:t xml:space="preserve">, is to </w:t>
      </w:r>
      <w:r w:rsidR="002E0BA8">
        <w:t>reject</w:t>
      </w:r>
      <w:r w:rsidR="009A12FE">
        <w:t xml:space="preserve"> arguments made on rehearing without sufficient </w:t>
      </w:r>
      <w:r w:rsidR="002E0BA8">
        <w:t>specificity.</w:t>
      </w:r>
      <w:r w:rsidR="002E0BA8">
        <w:rPr>
          <w:rStyle w:val="FootnoteReference"/>
        </w:rPr>
        <w:footnoteReference w:id="106"/>
      </w:r>
      <w:r w:rsidR="004006A9">
        <w:t xml:space="preserve">  Here, Venture Global fails to cite any authority or otherwise explain why the Commission</w:t>
      </w:r>
      <w:r w:rsidR="00120B59">
        <w:t xml:space="preserve"> is now no longer barred from accepting its answer or how the circumstances have changed such that the record is no longer sufficient </w:t>
      </w:r>
      <w:r w:rsidR="006D36A1">
        <w:t>to respond</w:t>
      </w:r>
      <w:r w:rsidR="00591FC2">
        <w:t xml:space="preserve"> to Petitioners’ request for rehearing.  </w:t>
      </w:r>
      <w:r w:rsidR="00DF3532">
        <w:t>Moreover</w:t>
      </w:r>
      <w:r w:rsidR="001E42E3">
        <w:t xml:space="preserve">, </w:t>
      </w:r>
      <w:r w:rsidR="00BE49A7">
        <w:t>“t</w:t>
      </w:r>
      <w:r w:rsidR="00703CB3" w:rsidRPr="00703CB3">
        <w:t>he Commission</w:t>
      </w:r>
      <w:r w:rsidR="00BE49A7">
        <w:t>’</w:t>
      </w:r>
      <w:r w:rsidR="00703CB3" w:rsidRPr="00703CB3">
        <w:t>s regulations require rehearing requests to provide the basis, in fact and law, for each alleged error including representative Commission and court precedent.</w:t>
      </w:r>
      <w:r w:rsidR="007308E3">
        <w:t>”</w:t>
      </w:r>
      <w:r w:rsidR="00DD32C7">
        <w:rPr>
          <w:rStyle w:val="FootnoteReference"/>
        </w:rPr>
        <w:footnoteReference w:id="107"/>
      </w:r>
      <w:r w:rsidR="00703CB3" w:rsidRPr="00703CB3">
        <w:t xml:space="preserve"> </w:t>
      </w:r>
      <w:r w:rsidR="00BE49A7">
        <w:t xml:space="preserve"> </w:t>
      </w:r>
      <w:r w:rsidR="00703CB3" w:rsidRPr="00703CB3">
        <w:t>Bootstrapping of arguments is not permitted.</w:t>
      </w:r>
      <w:r w:rsidR="001F5AE5">
        <w:rPr>
          <w:rStyle w:val="FootnoteReference"/>
        </w:rPr>
        <w:footnoteReference w:id="108"/>
      </w:r>
      <w:r w:rsidR="001349F3">
        <w:t xml:space="preserve">  </w:t>
      </w:r>
      <w:r w:rsidR="00021760">
        <w:t>Accordingly,</w:t>
      </w:r>
      <w:r w:rsidR="00C860EB">
        <w:t xml:space="preserve"> to the extent </w:t>
      </w:r>
      <w:r w:rsidR="008F1320">
        <w:t xml:space="preserve">Venture Global attempts to resurrect its rejected answer by incorporating it by reference and attaching it as an exhibit, we </w:t>
      </w:r>
      <w:r w:rsidR="006A03C9">
        <w:t xml:space="preserve">find </w:t>
      </w:r>
      <w:r w:rsidR="00977253">
        <w:t>such attempts improper.</w:t>
      </w:r>
      <w:r w:rsidR="00C73F33">
        <w:t xml:space="preserve">  </w:t>
      </w:r>
      <w:r w:rsidR="00C73F33" w:rsidRPr="00C73F33">
        <w:t xml:space="preserve">Nonetheless, to the extent </w:t>
      </w:r>
      <w:r w:rsidR="00C73F33" w:rsidRPr="00C73F33">
        <w:lastRenderedPageBreak/>
        <w:t xml:space="preserve">Venture Global’s request for rehearing of the Rehearing Order reiterates arguments in their prohibited answer, those arguments are addressed below.  </w:t>
      </w:r>
      <w:r w:rsidR="00977253">
        <w:t xml:space="preserve">  </w:t>
      </w:r>
    </w:p>
    <w:p w14:paraId="01ACD45A" w14:textId="77777777" w:rsidR="0039301C" w:rsidRDefault="0039301C" w:rsidP="005E77EB">
      <w:pPr>
        <w:pStyle w:val="Heading2"/>
      </w:pPr>
      <w:r>
        <w:t>Updated Air Modeling and New Information</w:t>
      </w:r>
    </w:p>
    <w:p w14:paraId="5E5B40FB" w14:textId="77777777" w:rsidR="0039301C" w:rsidRDefault="0039301C" w:rsidP="0039301C">
      <w:pPr>
        <w:pStyle w:val="FERCparanumber"/>
      </w:pPr>
      <w:r>
        <w:t>Venture Global</w:t>
      </w:r>
      <w:r w:rsidR="005C1B7D">
        <w:t xml:space="preserve"> </w:t>
      </w:r>
      <w:r>
        <w:t xml:space="preserve">asserts that it has complied with the Rehearing Order and </w:t>
      </w:r>
      <w:r w:rsidR="003961CC">
        <w:t>subsequent</w:t>
      </w:r>
      <w:r>
        <w:t xml:space="preserve"> data requests </w:t>
      </w:r>
      <w:r w:rsidR="00447C0A">
        <w:t>seeking</w:t>
      </w:r>
      <w:r>
        <w:t xml:space="preserve"> updated air modeling and argues that because the </w:t>
      </w:r>
      <w:r w:rsidR="00DC4243">
        <w:t xml:space="preserve">updated air </w:t>
      </w:r>
      <w:r>
        <w:t>modeling for the CP2 LNG Project demonstrates</w:t>
      </w:r>
      <w:r w:rsidRPr="00E54F04">
        <w:t xml:space="preserve"> compliance with the NAAQS thresholds for all criteria pollutants and their respective averaging periods</w:t>
      </w:r>
      <w:r w:rsidR="00DC4243">
        <w:t xml:space="preserve">, </w:t>
      </w:r>
      <w:r w:rsidRPr="00DB435F">
        <w:t xml:space="preserve">the issue resulting in the remand in </w:t>
      </w:r>
      <w:r w:rsidRPr="00DB435F">
        <w:rPr>
          <w:i/>
          <w:iCs/>
        </w:rPr>
        <w:t xml:space="preserve">Healthy Gulf </w:t>
      </w:r>
      <w:r w:rsidRPr="00DB435F">
        <w:t>which led the Commission to order a supplemental EIS is no longer present</w:t>
      </w:r>
      <w:r w:rsidR="00866CF7">
        <w:t xml:space="preserve"> (i.e., the third step</w:t>
      </w:r>
      <w:r w:rsidR="00E21AC9">
        <w:t>, a cause and contribute analysis,</w:t>
      </w:r>
      <w:r w:rsidR="00866CF7">
        <w:t xml:space="preserve"> is no</w:t>
      </w:r>
      <w:r w:rsidR="000156D2">
        <w:t xml:space="preserve"> longer</w:t>
      </w:r>
      <w:r w:rsidR="00866CF7">
        <w:t xml:space="preserve"> required)</w:t>
      </w:r>
      <w:r>
        <w:t xml:space="preserve"> rendering a supplemental EIS unnecessary.</w:t>
      </w:r>
      <w:r>
        <w:rPr>
          <w:rStyle w:val="FootnoteReference"/>
        </w:rPr>
        <w:footnoteReference w:id="109"/>
      </w:r>
      <w:r>
        <w:t xml:space="preserve">  Similarly, Venture Global argues that because the </w:t>
      </w:r>
      <w:r w:rsidR="00DC4243">
        <w:t xml:space="preserve">updated air </w:t>
      </w:r>
      <w:r>
        <w:t xml:space="preserve">modeling for the Moss Lake Compressor Station </w:t>
      </w:r>
      <w:r w:rsidR="00DC4243">
        <w:t>shows</w:t>
      </w:r>
      <w:r w:rsidRPr="002305DC">
        <w:t xml:space="preserve"> impacts below the SIL for all pollutants and averaging periods</w:t>
      </w:r>
      <w:r w:rsidR="00DC4243">
        <w:t xml:space="preserve"> (i.e., </w:t>
      </w:r>
      <w:r w:rsidR="00361205">
        <w:t>step one</w:t>
      </w:r>
      <w:r>
        <w:t xml:space="preserve">), </w:t>
      </w:r>
      <w:r w:rsidR="00F231FF">
        <w:t xml:space="preserve">the Commission is </w:t>
      </w:r>
      <w:r>
        <w:t xml:space="preserve">neither </w:t>
      </w:r>
      <w:r w:rsidR="00F231FF">
        <w:t xml:space="preserve">required to perform </w:t>
      </w:r>
      <w:r w:rsidRPr="007E1378">
        <w:t xml:space="preserve">a </w:t>
      </w:r>
      <w:r>
        <w:t>f</w:t>
      </w:r>
      <w:r w:rsidRPr="007E1378">
        <w:t xml:space="preserve">ull </w:t>
      </w:r>
      <w:r>
        <w:t>cumulative</w:t>
      </w:r>
      <w:r w:rsidRPr="007E1378">
        <w:t xml:space="preserve"> </w:t>
      </w:r>
      <w:r w:rsidR="00361205">
        <w:t xml:space="preserve">impact </w:t>
      </w:r>
      <w:r>
        <w:t>a</w:t>
      </w:r>
      <w:r w:rsidRPr="007E1378">
        <w:t>nalysis</w:t>
      </w:r>
      <w:r w:rsidR="00361205">
        <w:t xml:space="preserve"> (i.e., step two)</w:t>
      </w:r>
      <w:r w:rsidRPr="007E1378">
        <w:t xml:space="preserve">, </w:t>
      </w:r>
      <w:r>
        <w:t xml:space="preserve">nor </w:t>
      </w:r>
      <w:r w:rsidR="00C73F33">
        <w:t xml:space="preserve">the </w:t>
      </w:r>
      <w:r w:rsidR="00361205">
        <w:t>cause and contribute</w:t>
      </w:r>
      <w:r>
        <w:t xml:space="preserve"> analysis</w:t>
      </w:r>
      <w:r w:rsidRPr="007E1378">
        <w:t xml:space="preserve"> </w:t>
      </w:r>
      <w:r>
        <w:t xml:space="preserve">(i.e., </w:t>
      </w:r>
      <w:r w:rsidR="00361205">
        <w:t>step three</w:t>
      </w:r>
      <w:r w:rsidR="000C688F">
        <w:t>,</w:t>
      </w:r>
      <w:r w:rsidR="00361205">
        <w:t xml:space="preserve"> whi</w:t>
      </w:r>
      <w:r w:rsidR="000156D2">
        <w:t>ch</w:t>
      </w:r>
      <w:r w:rsidR="00361205">
        <w:t xml:space="preserve"> was at issue</w:t>
      </w:r>
      <w:r w:rsidRPr="007E1378">
        <w:t xml:space="preserve"> in </w:t>
      </w:r>
      <w:r w:rsidRPr="007E1378">
        <w:rPr>
          <w:i/>
          <w:iCs/>
        </w:rPr>
        <w:t>Healthy Gulf</w:t>
      </w:r>
      <w:r>
        <w:t>).</w:t>
      </w:r>
      <w:r>
        <w:rPr>
          <w:rStyle w:val="FootnoteReference"/>
        </w:rPr>
        <w:footnoteReference w:id="110"/>
      </w:r>
      <w:r>
        <w:t xml:space="preserve">  Based on the foregoing, Venture Global </w:t>
      </w:r>
      <w:r w:rsidR="00DF13AB">
        <w:t>requests</w:t>
      </w:r>
      <w:r>
        <w:t xml:space="preserve"> </w:t>
      </w:r>
      <w:r w:rsidRPr="00CF320E">
        <w:t xml:space="preserve">the Commission take this </w:t>
      </w:r>
      <w:r w:rsidR="00DF13AB">
        <w:t>updated</w:t>
      </w:r>
      <w:r w:rsidR="00DF13AB" w:rsidRPr="00CF320E">
        <w:t xml:space="preserve"> </w:t>
      </w:r>
      <w:r w:rsidRPr="00CF320E">
        <w:t>air modeling into consideration on rehearing</w:t>
      </w:r>
      <w:r>
        <w:t xml:space="preserve"> pursuant to Rule 713(c)(3)</w:t>
      </w:r>
      <w:r w:rsidR="00DF13AB">
        <w:t xml:space="preserve"> of the Commission’s Rules of Practice and Procedure</w:t>
      </w:r>
      <w:r>
        <w:t>.</w:t>
      </w:r>
      <w:r>
        <w:rPr>
          <w:rStyle w:val="FootnoteReference"/>
        </w:rPr>
        <w:footnoteReference w:id="111"/>
      </w:r>
      <w:r>
        <w:t xml:space="preserve">  It asserts that there is a compelling showing of good cause and the new information did not exist at the time of the Commission’s prior order.</w:t>
      </w:r>
      <w:r>
        <w:rPr>
          <w:rStyle w:val="FootnoteReference"/>
        </w:rPr>
        <w:footnoteReference w:id="112"/>
      </w:r>
      <w:r>
        <w:t xml:space="preserve">  It </w:t>
      </w:r>
      <w:r w:rsidR="00110E13">
        <w:t xml:space="preserve">maintains </w:t>
      </w:r>
      <w:r>
        <w:t xml:space="preserve">that the updated air modeling goes to the heart of the case, compels a contrary result because there are no longer any NAAQS exceedances, </w:t>
      </w:r>
      <w:r w:rsidR="00347384">
        <w:t xml:space="preserve">obviates </w:t>
      </w:r>
      <w:r>
        <w:t xml:space="preserve">the court’s concern in </w:t>
      </w:r>
      <w:r>
        <w:rPr>
          <w:i/>
          <w:iCs/>
        </w:rPr>
        <w:t>Healthy Gulf</w:t>
      </w:r>
      <w:r w:rsidR="007342EF">
        <w:t xml:space="preserve">, and removes the impetus behind </w:t>
      </w:r>
      <w:r w:rsidR="00842199">
        <w:t>the need for a supplemental NEPA review</w:t>
      </w:r>
      <w:r>
        <w:t>.</w:t>
      </w:r>
      <w:r>
        <w:rPr>
          <w:rStyle w:val="FootnoteReference"/>
        </w:rPr>
        <w:footnoteReference w:id="113"/>
      </w:r>
      <w:r>
        <w:t xml:space="preserve">  </w:t>
      </w:r>
    </w:p>
    <w:p w14:paraId="6DD8D78B" w14:textId="77777777" w:rsidR="0039301C" w:rsidRDefault="00127C7D" w:rsidP="0039301C">
      <w:pPr>
        <w:pStyle w:val="FERCparanumber"/>
      </w:pPr>
      <w:r>
        <w:t>We disagree</w:t>
      </w:r>
      <w:r w:rsidR="00C73F33">
        <w:t xml:space="preserve"> </w:t>
      </w:r>
      <w:r w:rsidR="00C73F33" w:rsidRPr="00C73F33">
        <w:t xml:space="preserve">that the new information on rehearing confirms that supplemental NEPA analysis is not warranted.  </w:t>
      </w:r>
      <w:r w:rsidR="00871CD2">
        <w:t>As an initial matter, t</w:t>
      </w:r>
      <w:r w:rsidR="00C73F33" w:rsidRPr="00C73F33">
        <w:t>he supplemental NEPA analysis was completed on May 9, 2025, and Venture Global’s arguments are</w:t>
      </w:r>
      <w:r w:rsidR="00871CD2">
        <w:t xml:space="preserve"> now</w:t>
      </w:r>
      <w:r w:rsidR="00C73F33" w:rsidRPr="00C73F33">
        <w:t xml:space="preserve"> moot.  Regardless, we note</w:t>
      </w:r>
      <w:r w:rsidR="00A746D1">
        <w:t xml:space="preserve"> that, </w:t>
      </w:r>
      <w:r w:rsidR="00C73F33">
        <w:t>a</w:t>
      </w:r>
      <w:r w:rsidR="0039301C">
        <w:t xml:space="preserve">s a general matter, “parties </w:t>
      </w:r>
      <w:r w:rsidR="0039301C" w:rsidRPr="00BD502D">
        <w:t xml:space="preserve">are not permitted to introduce new </w:t>
      </w:r>
      <w:r w:rsidR="0039301C" w:rsidRPr="00BD502D">
        <w:lastRenderedPageBreak/>
        <w:t>evidence for the first time on rehearing since such practice would allow an impermissible moving target, and would frustrate needed administrative finality.”</w:t>
      </w:r>
      <w:r w:rsidR="0039301C">
        <w:rPr>
          <w:rStyle w:val="FootnoteReference"/>
        </w:rPr>
        <w:footnoteReference w:id="114"/>
      </w:r>
      <w:r w:rsidR="0039301C">
        <w:t xml:space="preserve">  </w:t>
      </w:r>
      <w:r w:rsidR="0039301C" w:rsidRPr="0079587A">
        <w:t>Allowing parties to introduce new evidence on rehearing also raises fairness and due process concerns because other parties are precluded from filing answers to requests for rehearing.</w:t>
      </w:r>
      <w:r w:rsidR="0039301C">
        <w:rPr>
          <w:rStyle w:val="FootnoteReference"/>
        </w:rPr>
        <w:footnoteReference w:id="115"/>
      </w:r>
      <w:r w:rsidR="0039301C">
        <w:t xml:space="preserve">  Although Venture Global asserts that there is a compelling showing of good cause, it provides no further argument supporting these contentions</w:t>
      </w:r>
      <w:r w:rsidR="00EF036A">
        <w:t>, neither do we find good cause exists</w:t>
      </w:r>
      <w:r w:rsidR="0039301C">
        <w:t xml:space="preserve">.  </w:t>
      </w:r>
      <w:r w:rsidR="007D1252" w:rsidRPr="00411AF2">
        <w:t xml:space="preserve">Commission staff specifically requested additional information </w:t>
      </w:r>
      <w:r w:rsidR="00A85B90" w:rsidRPr="00411AF2">
        <w:t xml:space="preserve">to ensure the Commission’s analysis here complied with </w:t>
      </w:r>
      <w:r w:rsidR="00A85B90" w:rsidRPr="00411AF2">
        <w:rPr>
          <w:i/>
          <w:iCs/>
        </w:rPr>
        <w:t>Healthy Gulf.</w:t>
      </w:r>
      <w:r w:rsidR="00A85B90" w:rsidRPr="00411AF2">
        <w:t xml:space="preserve">  </w:t>
      </w:r>
      <w:r w:rsidR="00CB0207">
        <w:t>A</w:t>
      </w:r>
      <w:r w:rsidR="0039301C">
        <w:t>ccept</w:t>
      </w:r>
      <w:r w:rsidR="00CB0207">
        <w:t>ing</w:t>
      </w:r>
      <w:r w:rsidR="0039301C">
        <w:t xml:space="preserve"> Venture Global’s updated </w:t>
      </w:r>
      <w:r w:rsidR="004459BC" w:rsidRPr="00411AF2">
        <w:t>information</w:t>
      </w:r>
      <w:r w:rsidR="0039301C">
        <w:t xml:space="preserve"> on rehearing</w:t>
      </w:r>
      <w:r w:rsidR="009F331C">
        <w:t xml:space="preserve">, </w:t>
      </w:r>
      <w:r w:rsidR="00196F94">
        <w:t>instead of completing the</w:t>
      </w:r>
      <w:r w:rsidR="0039301C">
        <w:t xml:space="preserve"> supplemental NEPA</w:t>
      </w:r>
      <w:r w:rsidR="00196F94">
        <w:t xml:space="preserve"> process called for in the Rehearing Order, </w:t>
      </w:r>
      <w:r w:rsidR="00CC2639">
        <w:t>would not satisfy the terms of that order</w:t>
      </w:r>
      <w:r w:rsidR="0039301C">
        <w:t>.</w:t>
      </w:r>
      <w:r w:rsidR="0039301C">
        <w:rPr>
          <w:rStyle w:val="FootnoteReference"/>
        </w:rPr>
        <w:footnoteReference w:id="116"/>
      </w:r>
      <w:r w:rsidR="0039301C">
        <w:t xml:space="preserve">  Moreover, </w:t>
      </w:r>
      <w:r w:rsidR="0039301C" w:rsidRPr="000440AF">
        <w:t>completion of the supplemental NEPA process ensure</w:t>
      </w:r>
      <w:r w:rsidR="009063C7">
        <w:t>s</w:t>
      </w:r>
      <w:r w:rsidR="0039301C" w:rsidRPr="000440AF">
        <w:t xml:space="preserve"> the public is able to comment “at a meaningful time,” particularly in light of the holding in </w:t>
      </w:r>
      <w:r w:rsidR="0039301C" w:rsidRPr="000440AF">
        <w:rPr>
          <w:i/>
          <w:iCs/>
        </w:rPr>
        <w:t>City of Port Isabel</w:t>
      </w:r>
      <w:r w:rsidR="0039301C" w:rsidRPr="000440AF">
        <w:t>.</w:t>
      </w:r>
      <w:r w:rsidR="0039301C">
        <w:rPr>
          <w:rStyle w:val="FootnoteReference"/>
        </w:rPr>
        <w:footnoteReference w:id="117"/>
      </w:r>
      <w:r w:rsidR="0039301C">
        <w:t xml:space="preserve">  </w:t>
      </w:r>
      <w:r w:rsidR="0006420F">
        <w:t>A</w:t>
      </w:r>
      <w:r w:rsidR="0039301C" w:rsidRPr="000A6BAF">
        <w:t>n agency</w:t>
      </w:r>
      <w:r w:rsidR="0039301C">
        <w:t>’</w:t>
      </w:r>
      <w:r w:rsidR="0039301C" w:rsidRPr="000A6BAF">
        <w:t>s determination of whether a supplemental EIS is needed “implicates substantial agency expertise” and is thus governed by the arbitrary and capricious standard and entitled to deference.</w:t>
      </w:r>
      <w:r w:rsidR="0039301C">
        <w:rPr>
          <w:rStyle w:val="FootnoteReference"/>
        </w:rPr>
        <w:footnoteReference w:id="118"/>
      </w:r>
      <w:r w:rsidR="0039301C">
        <w:t xml:space="preserve">  </w:t>
      </w:r>
    </w:p>
    <w:p w14:paraId="32D1D1BA" w14:textId="77777777" w:rsidR="0067595C" w:rsidRDefault="0067595C" w:rsidP="0067595C">
      <w:pPr>
        <w:pStyle w:val="Heading2"/>
      </w:pPr>
      <w:r>
        <w:t>Preparation of Supplemental EIS</w:t>
      </w:r>
    </w:p>
    <w:p w14:paraId="3667AB81" w14:textId="77777777" w:rsidR="0067595C" w:rsidRDefault="0067595C" w:rsidP="0067595C">
      <w:pPr>
        <w:pStyle w:val="FERCparanumber"/>
      </w:pPr>
      <w:r>
        <w:t xml:space="preserve">On rehearing of the Authorization Order, Petitioners argue that because the Commission, following the final EIS, </w:t>
      </w:r>
      <w:r w:rsidRPr="00974A18">
        <w:t xml:space="preserve">required new </w:t>
      </w:r>
      <w:r>
        <w:t xml:space="preserve">air </w:t>
      </w:r>
      <w:r w:rsidRPr="00974A18">
        <w:t>modeling</w:t>
      </w:r>
      <w:r>
        <w:t xml:space="preserve"> for PM</w:t>
      </w:r>
      <w:r w:rsidRPr="009F451A">
        <w:rPr>
          <w:vertAlign w:val="subscript"/>
        </w:rPr>
        <w:t>2.5</w:t>
      </w:r>
      <w:r>
        <w:t xml:space="preserve"> after the EPA </w:t>
      </w:r>
      <w:r>
        <w:lastRenderedPageBreak/>
        <w:t>lowered the NAAQS thresholds,</w:t>
      </w:r>
      <w:r>
        <w:rPr>
          <w:rStyle w:val="FootnoteReference"/>
        </w:rPr>
        <w:footnoteReference w:id="119"/>
      </w:r>
      <w:r>
        <w:t xml:space="preserve"> </w:t>
      </w:r>
      <w:r w:rsidRPr="00974A18">
        <w:t>changed its ambient air quality estimate</w:t>
      </w:r>
      <w:r>
        <w:t xml:space="preserve">, and requested </w:t>
      </w:r>
      <w:r w:rsidRPr="00974A18">
        <w:t>updated air modeling for the CP2 LNG Project to account for increased PM</w:t>
      </w:r>
      <w:r w:rsidRPr="00974A18">
        <w:rPr>
          <w:vertAlign w:val="subscript"/>
        </w:rPr>
        <w:t>2.5</w:t>
      </w:r>
      <w:r w:rsidRPr="00974A18">
        <w:t xml:space="preserve"> and NO</w:t>
      </w:r>
      <w:r w:rsidRPr="00EB213D">
        <w:t>x</w:t>
      </w:r>
      <w:r w:rsidRPr="00974A18">
        <w:t xml:space="preserve"> from the CP1 LNG </w:t>
      </w:r>
      <w:r>
        <w:t xml:space="preserve">terminal, </w:t>
      </w:r>
      <w:r w:rsidRPr="00974A18">
        <w:t xml:space="preserve">circumstances were sufficiently changed to warrant </w:t>
      </w:r>
      <w:r>
        <w:t>preparation of a supplemental EIS.</w:t>
      </w:r>
      <w:r>
        <w:rPr>
          <w:rStyle w:val="FootnoteReference"/>
        </w:rPr>
        <w:footnoteReference w:id="120"/>
      </w:r>
      <w:r>
        <w:t xml:space="preserve">  Petitioners also</w:t>
      </w:r>
      <w:r w:rsidRPr="00B077D6">
        <w:t xml:space="preserve"> assert that </w:t>
      </w:r>
      <w:r w:rsidR="009C17CA">
        <w:t>Sierra Club</w:t>
      </w:r>
      <w:r w:rsidRPr="00B077D6">
        <w:t xml:space="preserve"> could address </w:t>
      </w:r>
      <w:r>
        <w:t>only</w:t>
      </w:r>
      <w:r w:rsidRPr="00B077D6">
        <w:t xml:space="preserve"> the limited information provided by CP2 LNG</w:t>
      </w:r>
      <w:r>
        <w:t xml:space="preserve"> regarding </w:t>
      </w:r>
      <w:r w:rsidRPr="00B077D6">
        <w:t xml:space="preserve">new </w:t>
      </w:r>
      <w:r w:rsidR="00887261">
        <w:t xml:space="preserve">                  </w:t>
      </w:r>
      <w:r w:rsidRPr="00B077D6">
        <w:t xml:space="preserve">CP1 LNG </w:t>
      </w:r>
      <w:r>
        <w:t>terminal</w:t>
      </w:r>
      <w:r w:rsidRPr="00B077D6">
        <w:t xml:space="preserve"> emissions</w:t>
      </w:r>
      <w:r>
        <w:t xml:space="preserve"> and that </w:t>
      </w:r>
      <w:r w:rsidRPr="00B077D6">
        <w:t>without access to modeling details and the Commission’s rational</w:t>
      </w:r>
      <w:r>
        <w:t>e</w:t>
      </w:r>
      <w:r w:rsidRPr="00B077D6">
        <w:t xml:space="preserve"> or sufficient time to review CP2 LNG’s analysis, commenters did not have an opportunity to fully understand and comment on CP2 LNG’s </w:t>
      </w:r>
      <w:r>
        <w:t>updated</w:t>
      </w:r>
      <w:r w:rsidRPr="00B077D6">
        <w:t xml:space="preserve"> air modeling.</w:t>
      </w:r>
      <w:r w:rsidRPr="00B077D6">
        <w:rPr>
          <w:b/>
          <w:vertAlign w:val="superscript"/>
        </w:rPr>
        <w:footnoteReference w:id="121"/>
      </w:r>
      <w:r w:rsidRPr="00B077D6">
        <w:t xml:space="preserve">  </w:t>
      </w:r>
    </w:p>
    <w:p w14:paraId="422B5306" w14:textId="77777777" w:rsidR="0067595C" w:rsidRDefault="00371A68" w:rsidP="0067595C">
      <w:pPr>
        <w:pStyle w:val="FERCparanumber"/>
      </w:pPr>
      <w:r w:rsidRPr="00371A68">
        <w:t xml:space="preserve">Petitioners’ arguments </w:t>
      </w:r>
      <w:r>
        <w:t>are</w:t>
      </w:r>
      <w:r w:rsidRPr="00371A68">
        <w:t xml:space="preserve"> moot.  </w:t>
      </w:r>
      <w:r w:rsidR="0067595C">
        <w:t>As explained above, after issuance of the Rehearing Order, the Commission requested additional air modeling be submitted to further evaluate the cumulative impacts from NO</w:t>
      </w:r>
      <w:r w:rsidR="0067595C" w:rsidRPr="00D2565C">
        <w:rPr>
          <w:vertAlign w:val="subscript"/>
        </w:rPr>
        <w:t>2</w:t>
      </w:r>
      <w:r w:rsidR="0067595C">
        <w:t xml:space="preserve"> and PM</w:t>
      </w:r>
      <w:r w:rsidR="0067595C" w:rsidRPr="00D2565C">
        <w:rPr>
          <w:vertAlign w:val="subscript"/>
        </w:rPr>
        <w:t>2.5</w:t>
      </w:r>
      <w:r w:rsidR="0067595C">
        <w:t>.</w:t>
      </w:r>
      <w:r w:rsidR="0067595C">
        <w:rPr>
          <w:rStyle w:val="FootnoteReference"/>
        </w:rPr>
        <w:footnoteReference w:id="122"/>
      </w:r>
      <w:r w:rsidR="0067595C">
        <w:t xml:space="preserve">  This updated air modeling provided the Commission, the public, and interested parties with additional, updated data.  The Commission then engaged in supplemental NEPA and presented its analysis in the draft supplemental EIS, and, ultimately, the final supplemental EIS.  Because the Commission engaged in supplemental NEPA and provided the public and interested parties sufficient time to meaningfully participate, we find Petitioners’ arguments moot.</w:t>
      </w:r>
      <w:r w:rsidR="0067595C">
        <w:rPr>
          <w:rStyle w:val="FootnoteReference"/>
        </w:rPr>
        <w:footnoteReference w:id="123"/>
      </w:r>
    </w:p>
    <w:p w14:paraId="131CDAE2" w14:textId="77777777" w:rsidR="0067595C" w:rsidRDefault="0067595C" w:rsidP="0067595C">
      <w:pPr>
        <w:pStyle w:val="FERCparanumber"/>
      </w:pPr>
      <w:r>
        <w:lastRenderedPageBreak/>
        <w:t>On the other hand, Venture Global disagrees with the Commission’s decision in the Rehearing Order to engage in supplemental NEPA and further argues that the Commission failed to explain why it needed to do so or cite to the standard for determining whether additional environmental review is necessary, despite doing so elsewhere in the Authorization Order and Rehearing Order.</w:t>
      </w:r>
      <w:r>
        <w:rPr>
          <w:rStyle w:val="FootnoteReference"/>
        </w:rPr>
        <w:footnoteReference w:id="124"/>
      </w:r>
      <w:r>
        <w:t xml:space="preserve">  </w:t>
      </w:r>
      <w:r w:rsidRPr="00262DF2">
        <w:t xml:space="preserve">Venture Global </w:t>
      </w:r>
      <w:r>
        <w:t>maintains</w:t>
      </w:r>
      <w:r w:rsidRPr="00262DF2">
        <w:t xml:space="preserve"> that the D.C. Circuit’s remand in </w:t>
      </w:r>
      <w:r w:rsidRPr="00262DF2">
        <w:rPr>
          <w:i/>
          <w:iCs/>
        </w:rPr>
        <w:t>Healthy Gulf</w:t>
      </w:r>
      <w:r w:rsidRPr="00262DF2">
        <w:t xml:space="preserve"> only required additional explanation of the Commission’s cumulative air emissions analysis and did not require or direct supplemental NEPA.</w:t>
      </w:r>
      <w:r w:rsidRPr="00262DF2">
        <w:rPr>
          <w:b/>
          <w:vertAlign w:val="superscript"/>
        </w:rPr>
        <w:footnoteReference w:id="125"/>
      </w:r>
      <w:r w:rsidRPr="00262DF2">
        <w:t xml:space="preserve">  It </w:t>
      </w:r>
      <w:r>
        <w:t>asserts</w:t>
      </w:r>
      <w:r w:rsidRPr="00262DF2">
        <w:t xml:space="preserve"> that the court’s decision was not new information that altered the Project</w:t>
      </w:r>
      <w:r>
        <w:t>s</w:t>
      </w:r>
      <w:r w:rsidRPr="00262DF2">
        <w:t xml:space="preserve"> or </w:t>
      </w:r>
      <w:r>
        <w:t>their</w:t>
      </w:r>
      <w:r w:rsidRPr="00262DF2">
        <w:t xml:space="preserve"> impacts nor did it otherwise meet the other criteria necessitating supplemental NEPA.</w:t>
      </w:r>
      <w:r w:rsidRPr="00262DF2">
        <w:rPr>
          <w:b/>
          <w:vertAlign w:val="superscript"/>
        </w:rPr>
        <w:footnoteReference w:id="126"/>
      </w:r>
      <w:r w:rsidRPr="00262DF2">
        <w:t xml:space="preserve">  Venture Global also argues that despite the Commission’s reference to </w:t>
      </w:r>
      <w:r w:rsidRPr="00262DF2">
        <w:rPr>
          <w:i/>
          <w:iCs/>
        </w:rPr>
        <w:t>City of Port Isabel</w:t>
      </w:r>
      <w:r w:rsidRPr="00262DF2">
        <w:t>, it is inapposite because here there was no entirely new or significantly expanded information or analysis and that the Commission did not reach a different conclusion.</w:t>
      </w:r>
      <w:r w:rsidRPr="00262DF2">
        <w:rPr>
          <w:b/>
          <w:vertAlign w:val="superscript"/>
        </w:rPr>
        <w:footnoteReference w:id="127"/>
      </w:r>
      <w:r w:rsidRPr="00262DF2">
        <w:t xml:space="preserve">  </w:t>
      </w:r>
      <w:r>
        <w:t xml:space="preserve">Instead of engaging in supplemental NEPA, Venture Global asserts that the Commission should have defended and further explained its cumulative impact analysis and </w:t>
      </w:r>
      <w:r w:rsidRPr="00E6119D">
        <w:t xml:space="preserve">the reasonableness of its use of </w:t>
      </w:r>
      <w:r>
        <w:t xml:space="preserve">the </w:t>
      </w:r>
      <w:r w:rsidRPr="00E6119D">
        <w:t>SIL</w:t>
      </w:r>
      <w:r>
        <w:t>s</w:t>
      </w:r>
      <w:r w:rsidRPr="00E6119D">
        <w:t xml:space="preserve"> </w:t>
      </w:r>
      <w:r>
        <w:t>which it argues was proper and done in accordance with EPA-approved protocols.</w:t>
      </w:r>
      <w:r>
        <w:rPr>
          <w:rStyle w:val="FootnoteReference"/>
        </w:rPr>
        <w:footnoteReference w:id="128"/>
      </w:r>
      <w:r>
        <w:t xml:space="preserve">  Venture </w:t>
      </w:r>
      <w:r>
        <w:lastRenderedPageBreak/>
        <w:t>Global also maintains that the air modeling performed in this proceeding and relied upon by the Commission in the Authorization Order overestimates background concentrations because</w:t>
      </w:r>
      <w:r w:rsidR="0038746F">
        <w:t xml:space="preserve">:  </w:t>
      </w:r>
      <w:r>
        <w:t>(1) it uses monitoring stations in proximity to moderate and/or heavily industrialized areas (as compared to the rural area surrounding the Projects), (2) it included facilities that are permitted but not constructed or operating, (3) all sources were modeled as simultaneously emitting their full emissions potential, and (4) the Commission required that Venture Global’s analysis include emissions from mobile marine sources.</w:t>
      </w:r>
      <w:r>
        <w:rPr>
          <w:rStyle w:val="FootnoteReference"/>
        </w:rPr>
        <w:footnoteReference w:id="129"/>
      </w:r>
      <w:r>
        <w:t xml:space="preserve">  Venture Global also argues that although the Projects did not cause or contribute to NAAQS exceedances, the Commission nevertheless required it to comply with the mitigation measures it proposed for NO</w:t>
      </w:r>
      <w:r w:rsidRPr="006E4C39">
        <w:rPr>
          <w:vertAlign w:val="subscript"/>
        </w:rPr>
        <w:t>2</w:t>
      </w:r>
      <w:r>
        <w:t xml:space="preserve"> and PM</w:t>
      </w:r>
      <w:r w:rsidRPr="006E4C39">
        <w:rPr>
          <w:vertAlign w:val="subscript"/>
        </w:rPr>
        <w:t>2.5</w:t>
      </w:r>
      <w:r>
        <w:t xml:space="preserve"> which further supports the reasonableness of using the SILs.</w:t>
      </w:r>
      <w:r>
        <w:rPr>
          <w:rStyle w:val="FootnoteReference"/>
        </w:rPr>
        <w:footnoteReference w:id="130"/>
      </w:r>
      <w:r>
        <w:t xml:space="preserve">  Venture Global also asserts that the Commission failed to consider or address precedent and historical practice rejecting requests to conduct supplemental NEPA.</w:t>
      </w:r>
      <w:r>
        <w:rPr>
          <w:rStyle w:val="FootnoteReference"/>
        </w:rPr>
        <w:footnoteReference w:id="131"/>
      </w:r>
      <w:r>
        <w:t xml:space="preserve"> </w:t>
      </w:r>
    </w:p>
    <w:p w14:paraId="5505D170" w14:textId="77777777" w:rsidR="00857675" w:rsidRDefault="0067595C" w:rsidP="0067595C">
      <w:pPr>
        <w:pStyle w:val="FERCparanumber"/>
      </w:pPr>
      <w:r>
        <w:t>As an initial matter, because the Commission has already engaged in supplemental NEPA, we find Venture Global’s assertions moot.</w:t>
      </w:r>
      <w:r>
        <w:rPr>
          <w:rStyle w:val="FootnoteReference"/>
        </w:rPr>
        <w:footnoteReference w:id="132"/>
      </w:r>
      <w:r>
        <w:t xml:space="preserve">  </w:t>
      </w:r>
      <w:r w:rsidR="00BC2694" w:rsidRPr="00BC2694">
        <w:t xml:space="preserve">In any event, we disagree with Venture Global’s assertions.  </w:t>
      </w:r>
      <w:r w:rsidR="00AA0064" w:rsidRPr="00726AF2">
        <w:t>Commission staff follow</w:t>
      </w:r>
      <w:r w:rsidR="00CE16E3" w:rsidRPr="00BC7B3F">
        <w:t>ed</w:t>
      </w:r>
      <w:r w:rsidR="00AA0064" w:rsidRPr="00726AF2">
        <w:t xml:space="preserve"> th</w:t>
      </w:r>
      <w:r w:rsidR="00BC2694" w:rsidRPr="00BC2694">
        <w:t>e three-step</w:t>
      </w:r>
      <w:r w:rsidR="00AA0064" w:rsidRPr="00726AF2">
        <w:t xml:space="preserve"> PSD </w:t>
      </w:r>
      <w:r w:rsidR="00AA0064" w:rsidRPr="00726AF2">
        <w:lastRenderedPageBreak/>
        <w:t xml:space="preserve">methodology </w:t>
      </w:r>
      <w:r w:rsidR="00BC2694" w:rsidRPr="00BC2694">
        <w:t>discussed above</w:t>
      </w:r>
      <w:r w:rsidR="00BC2694" w:rsidRPr="00BC2694">
        <w:rPr>
          <w:b/>
          <w:vertAlign w:val="superscript"/>
        </w:rPr>
        <w:footnoteReference w:id="133"/>
      </w:r>
      <w:r w:rsidR="00BC2694" w:rsidRPr="00BC2694">
        <w:t xml:space="preserve"> </w:t>
      </w:r>
      <w:r w:rsidR="00AA0064" w:rsidRPr="00726AF2">
        <w:t>to assess the impacts of most criteria pollutants</w:t>
      </w:r>
      <w:r w:rsidR="00CE16E3">
        <w:t xml:space="preserve"> </w:t>
      </w:r>
      <w:r w:rsidR="00CE16E3" w:rsidRPr="00BC7B3F">
        <w:t>to ensure compliance with the court’s direction in</w:t>
      </w:r>
      <w:r w:rsidR="00BC7B3F">
        <w:t xml:space="preserve"> </w:t>
      </w:r>
      <w:r w:rsidR="00AA0064" w:rsidRPr="00726AF2">
        <w:rPr>
          <w:i/>
          <w:iCs/>
        </w:rPr>
        <w:t>Healthy Gulf</w:t>
      </w:r>
      <w:r w:rsidR="00AA0064" w:rsidRPr="00726AF2">
        <w:t>.  Importantly, EPA has issued only interim guidance for certain criteria pollutants, including the 1-hour N</w:t>
      </w:r>
      <w:r w:rsidR="00BC2694" w:rsidRPr="00BC2694">
        <w:t>O</w:t>
      </w:r>
      <w:r w:rsidR="00AA0064" w:rsidRPr="00726AF2">
        <w:rPr>
          <w:vertAlign w:val="subscript"/>
        </w:rPr>
        <w:t>2</w:t>
      </w:r>
      <w:r w:rsidR="00AA0064" w:rsidRPr="00726AF2">
        <w:t xml:space="preserve"> SIL,</w:t>
      </w:r>
      <w:r w:rsidR="00AA0064" w:rsidRPr="00726AF2">
        <w:rPr>
          <w:b/>
          <w:bCs/>
          <w:vertAlign w:val="superscript"/>
        </w:rPr>
        <w:footnoteReference w:id="134"/>
      </w:r>
      <w:r w:rsidR="00AA0064" w:rsidRPr="00726AF2">
        <w:rPr>
          <w:bCs/>
        </w:rPr>
        <w:t xml:space="preserve"> which </w:t>
      </w:r>
      <w:r w:rsidR="00AA0064" w:rsidRPr="00726AF2">
        <w:t xml:space="preserve">may not be afforded the same weight in NEPA analyses after </w:t>
      </w:r>
      <w:r w:rsidR="00AA0064" w:rsidRPr="00726AF2">
        <w:rPr>
          <w:i/>
          <w:iCs/>
        </w:rPr>
        <w:t>Healthy Gulf</w:t>
      </w:r>
      <w:r w:rsidR="00AA0064" w:rsidRPr="00726AF2">
        <w:t xml:space="preserve"> </w:t>
      </w:r>
      <w:r w:rsidR="00CE16E3" w:rsidRPr="00BC7B3F">
        <w:t>where a third step cause and contribute analysis is required</w:t>
      </w:r>
      <w:r w:rsidR="00CE16E3">
        <w:t xml:space="preserve"> </w:t>
      </w:r>
      <w:r w:rsidR="00AA0064" w:rsidRPr="00726AF2">
        <w:t>as the more developed SILs issued for some other criteria pollutants, which use a more detailed statistical methodology</w:t>
      </w:r>
      <w:r w:rsidR="00BC2694" w:rsidRPr="00543212">
        <w:rPr>
          <w:bCs/>
        </w:rPr>
        <w:t>.</w:t>
      </w:r>
      <w:r w:rsidR="00AA0064" w:rsidRPr="00726AF2">
        <w:rPr>
          <w:b/>
          <w:vertAlign w:val="superscript"/>
        </w:rPr>
        <w:footnoteReference w:id="135"/>
      </w:r>
      <w:r w:rsidR="00AA0064" w:rsidRPr="00726AF2">
        <w:t xml:space="preserve">  An increase in cumulative effects equal to a concentration below the 1-hour NO</w:t>
      </w:r>
      <w:r w:rsidR="00BC2694" w:rsidRPr="00BC2694">
        <w:rPr>
          <w:vertAlign w:val="subscript"/>
        </w:rPr>
        <w:t>2</w:t>
      </w:r>
      <w:r w:rsidR="00AA0064" w:rsidRPr="00726AF2">
        <w:t xml:space="preserve"> SIL represents a minor increase in the cumulative impact of air quality in the region.</w:t>
      </w:r>
      <w:r w:rsidR="00BC2694" w:rsidRPr="00BC2694">
        <w:t xml:space="preserve"> </w:t>
      </w:r>
      <w:r w:rsidR="00AA0064" w:rsidRPr="00726AF2">
        <w:t xml:space="preserve"> This contrasts with recent EPA guidance for other pollutants which have a statistically defined NAAQS standard, namely PM</w:t>
      </w:r>
      <w:r w:rsidR="00BC2694" w:rsidRPr="00BC2694">
        <w:rPr>
          <w:vertAlign w:val="subscript"/>
        </w:rPr>
        <w:t xml:space="preserve">2.5 </w:t>
      </w:r>
      <w:r w:rsidR="00AA0064" w:rsidRPr="00726AF2">
        <w:t>and ozone.  Cumulative air modeling for 1-hour NO</w:t>
      </w:r>
      <w:r w:rsidR="00AA0064" w:rsidRPr="00726AF2">
        <w:rPr>
          <w:vertAlign w:val="subscript"/>
        </w:rPr>
        <w:t>2</w:t>
      </w:r>
      <w:r w:rsidR="00AA0064" w:rsidRPr="00726AF2">
        <w:t xml:space="preserve"> and PM</w:t>
      </w:r>
      <w:r w:rsidR="00AA0064" w:rsidRPr="00726AF2">
        <w:rPr>
          <w:vertAlign w:val="subscript"/>
        </w:rPr>
        <w:t>2.5</w:t>
      </w:r>
      <w:r w:rsidR="00BC2694" w:rsidRPr="00BC2694">
        <w:t xml:space="preserve"> </w:t>
      </w:r>
      <w:r w:rsidR="00AA0064" w:rsidRPr="00726AF2">
        <w:t>identified potential NAAQS exceedances in the areas for both Projects, but the Projects’ individual exceedances fell below the SIL.</w:t>
      </w:r>
      <w:r w:rsidR="00AA0064" w:rsidRPr="00726AF2">
        <w:rPr>
          <w:b/>
          <w:vertAlign w:val="superscript"/>
        </w:rPr>
        <w:footnoteReference w:id="136"/>
      </w:r>
      <w:r w:rsidR="00AA0064" w:rsidRPr="00726AF2">
        <w:t xml:space="preserve">  </w:t>
      </w:r>
      <w:r w:rsidR="00CE16E3" w:rsidRPr="005E417A">
        <w:t>I</w:t>
      </w:r>
      <w:r w:rsidR="00AA0064" w:rsidRPr="00726AF2">
        <w:t xml:space="preserve">n response to the court’s directive in </w:t>
      </w:r>
      <w:r w:rsidR="00AA0064" w:rsidRPr="00726AF2">
        <w:rPr>
          <w:i/>
          <w:iCs/>
        </w:rPr>
        <w:t>Healthy Gulf</w:t>
      </w:r>
      <w:r w:rsidR="00AA0064" w:rsidRPr="00726AF2">
        <w:t xml:space="preserve">, </w:t>
      </w:r>
      <w:r w:rsidR="00CE16E3" w:rsidRPr="005E417A">
        <w:t>here the Commission conducted a supplemental EIS to consider the cumulative impacts of</w:t>
      </w:r>
      <w:r w:rsidR="00CE16E3">
        <w:t xml:space="preserve"> </w:t>
      </w:r>
      <w:r w:rsidR="00AA0064" w:rsidRPr="00726AF2">
        <w:t>any modeled NO</w:t>
      </w:r>
      <w:r w:rsidR="00AA0064" w:rsidRPr="00726AF2">
        <w:rPr>
          <w:vertAlign w:val="subscript"/>
        </w:rPr>
        <w:t xml:space="preserve">2 </w:t>
      </w:r>
      <w:r w:rsidR="00AA0064" w:rsidRPr="00726AF2">
        <w:t xml:space="preserve">NAAQS violation with a modeled non-zero contribution by the </w:t>
      </w:r>
      <w:r w:rsidR="00CE16E3" w:rsidRPr="005E417A">
        <w:t>Projects as part of the Commission’s third step cause</w:t>
      </w:r>
      <w:r w:rsidR="005E417A">
        <w:t xml:space="preserve"> and</w:t>
      </w:r>
      <w:r w:rsidR="00CE16E3" w:rsidRPr="005E417A">
        <w:t xml:space="preserve"> contribute analysis.</w:t>
      </w:r>
      <w:r w:rsidR="00AA0064" w:rsidRPr="005E417A">
        <w:rPr>
          <w:b/>
          <w:vertAlign w:val="superscript"/>
        </w:rPr>
        <w:footnoteReference w:id="137"/>
      </w:r>
    </w:p>
    <w:p w14:paraId="5B409E83" w14:textId="77777777" w:rsidR="0067595C" w:rsidRDefault="00BC2694" w:rsidP="0067595C">
      <w:pPr>
        <w:pStyle w:val="FERCparanumber"/>
      </w:pPr>
      <w:r>
        <w:t>T</w:t>
      </w:r>
      <w:r w:rsidR="0067595C" w:rsidRPr="001A2C02">
        <w:t xml:space="preserve">he </w:t>
      </w:r>
      <w:r w:rsidR="0067595C">
        <w:t>Supreme Court has explained that under NEPA t</w:t>
      </w:r>
      <w:r w:rsidR="0067595C" w:rsidRPr="001A2C02">
        <w:t>he decision to complete a supplemental EIS “implicates substantial agency expertise</w:t>
      </w:r>
      <w:r w:rsidR="0067595C">
        <w:t>,</w:t>
      </w:r>
      <w:r w:rsidR="0067595C" w:rsidRPr="001A2C02">
        <w:t>”</w:t>
      </w:r>
      <w:r w:rsidR="0067595C">
        <w:t xml:space="preserve"> and</w:t>
      </w:r>
      <w:r w:rsidR="0067595C" w:rsidRPr="001A2C02">
        <w:t xml:space="preserve"> is left to agency discretion under a “rule of reason” standard.</w:t>
      </w:r>
      <w:r w:rsidR="0067595C" w:rsidRPr="001A2C02">
        <w:rPr>
          <w:b/>
          <w:vertAlign w:val="superscript"/>
        </w:rPr>
        <w:footnoteReference w:id="138"/>
      </w:r>
      <w:r w:rsidR="0067595C" w:rsidRPr="001A2C02">
        <w:t xml:space="preserve">  </w:t>
      </w:r>
      <w:r w:rsidR="0067595C">
        <w:t>“T</w:t>
      </w:r>
      <w:r w:rsidR="0067595C" w:rsidRPr="00981346">
        <w:t>he decision whether to prepare a supplemental EIS is similar to the decision whether to prepare an EIS in the first instance:</w:t>
      </w:r>
      <w:r w:rsidR="0067595C">
        <w:t xml:space="preserve"> </w:t>
      </w:r>
      <w:r w:rsidR="0067595C" w:rsidRPr="00981346">
        <w:t xml:space="preserve"> </w:t>
      </w:r>
      <w:r w:rsidR="0067595C" w:rsidRPr="00981346">
        <w:lastRenderedPageBreak/>
        <w:t xml:space="preserve">If there remains </w:t>
      </w:r>
      <w:r w:rsidR="0067595C">
        <w:t>‘</w:t>
      </w:r>
      <w:r w:rsidR="0067595C" w:rsidRPr="00981346">
        <w:t>major Federal actio[n]</w:t>
      </w:r>
      <w:r w:rsidR="0067595C">
        <w:t>’</w:t>
      </w:r>
      <w:r w:rsidR="0067595C" w:rsidRPr="00981346">
        <w:t xml:space="preserve"> to occur, and if the new information is sufficient to show that the remaining action will </w:t>
      </w:r>
      <w:r w:rsidR="0067595C">
        <w:t>‘</w:t>
      </w:r>
      <w:r w:rsidR="0067595C" w:rsidRPr="00981346">
        <w:t>affec[t] the quality of the human environment</w:t>
      </w:r>
      <w:r w:rsidR="0067595C">
        <w:t>’</w:t>
      </w:r>
      <w:r w:rsidR="0067595C" w:rsidRPr="00981346">
        <w:t xml:space="preserve"> in a significant manner or to a significant extent not already considered, a supplemental EIS must be prepared.</w:t>
      </w:r>
      <w:r w:rsidR="0067595C">
        <w:t>”</w:t>
      </w:r>
      <w:r w:rsidR="0067595C">
        <w:rPr>
          <w:rStyle w:val="FootnoteReference"/>
        </w:rPr>
        <w:footnoteReference w:id="139"/>
      </w:r>
      <w:r w:rsidR="0067595C">
        <w:t xml:space="preserve">  </w:t>
      </w:r>
      <w:r w:rsidR="0067595C" w:rsidRPr="00CA60B5">
        <w:t>Whether an agency must complete a supplemental EIS “turns on the value of the new information to the still pending decisionmaking process.”</w:t>
      </w:r>
      <w:r w:rsidR="0067595C" w:rsidRPr="00CA60B5">
        <w:rPr>
          <w:b/>
          <w:vertAlign w:val="superscript"/>
        </w:rPr>
        <w:footnoteReference w:id="140"/>
      </w:r>
      <w:r w:rsidR="0067595C" w:rsidRPr="00CA60B5">
        <w:t xml:space="preserve">  </w:t>
      </w:r>
    </w:p>
    <w:p w14:paraId="590DE5D9" w14:textId="77777777" w:rsidR="0067595C" w:rsidRDefault="0067595C" w:rsidP="0067595C">
      <w:pPr>
        <w:pStyle w:val="FERCparanumber"/>
      </w:pPr>
      <w:r>
        <w:t>In the Rehearing Order, the Commission appropriately exercised its discretion in the circumstances of this case to provide for a supplemental NEPA process.</w:t>
      </w:r>
      <w:r>
        <w:rPr>
          <w:rStyle w:val="FootnoteReference"/>
        </w:rPr>
        <w:footnoteReference w:id="141"/>
      </w:r>
      <w:r>
        <w:t xml:space="preserve">  As explained above, following the Authorization Order, the D.C. Circuit in </w:t>
      </w:r>
      <w:r>
        <w:rPr>
          <w:i/>
          <w:iCs/>
        </w:rPr>
        <w:t>Healthy Gulf</w:t>
      </w:r>
      <w:r>
        <w:t xml:space="preserve"> and </w:t>
      </w:r>
      <w:r w:rsidRPr="00E652E8">
        <w:rPr>
          <w:i/>
          <w:iCs/>
        </w:rPr>
        <w:t>City of Port Isabel</w:t>
      </w:r>
      <w:r>
        <w:t xml:space="preserve"> </w:t>
      </w:r>
      <w:r w:rsidRPr="00A87873">
        <w:t xml:space="preserve">remanded </w:t>
      </w:r>
      <w:r>
        <w:t xml:space="preserve">those </w:t>
      </w:r>
      <w:r w:rsidRPr="00A87873">
        <w:t>proceeding</w:t>
      </w:r>
      <w:r>
        <w:t>s</w:t>
      </w:r>
      <w:r w:rsidRPr="00A87873">
        <w:t xml:space="preserve"> to the Commission </w:t>
      </w:r>
      <w:r>
        <w:t xml:space="preserve">based on deficiencies in the Commission’s use of SILs in its cause and contribute analyses (i.e., step three) and the Commission’s reliance on updated </w:t>
      </w:r>
      <w:r w:rsidRPr="00044D5B">
        <w:t>data without providing the public with an opportunity to comment on the underlying data or the Commission’s interpretation of that data</w:t>
      </w:r>
      <w:r>
        <w:t>.</w:t>
      </w:r>
      <w:r>
        <w:rPr>
          <w:rStyle w:val="FootnoteReference"/>
        </w:rPr>
        <w:footnoteReference w:id="142"/>
      </w:r>
      <w:r>
        <w:t xml:space="preserve">  Accordingly, the Commission concluded in the Rehearing Order that, given the D.C. Circuit’s specific directives implicating issues in this proceeding, it was appropriate to conduct additional environmental review.</w:t>
      </w:r>
      <w:r>
        <w:rPr>
          <w:rStyle w:val="FootnoteReference"/>
        </w:rPr>
        <w:footnoteReference w:id="143"/>
      </w:r>
      <w:r>
        <w:t xml:space="preserve">  Moreover, </w:t>
      </w:r>
      <w:r w:rsidRPr="00277749">
        <w:t xml:space="preserve">we disagree with Venture </w:t>
      </w:r>
      <w:r w:rsidRPr="00277749">
        <w:lastRenderedPageBreak/>
        <w:t xml:space="preserve">Global’s assertion that the Commission’s decision to engage in supplemental NEPA process was </w:t>
      </w:r>
      <w:r w:rsidRPr="00277749">
        <w:rPr>
          <w:i/>
          <w:iCs/>
        </w:rPr>
        <w:t>ultra vires</w:t>
      </w:r>
      <w:r w:rsidRPr="00277749">
        <w:t xml:space="preserve"> following </w:t>
      </w:r>
      <w:r w:rsidRPr="00277749">
        <w:rPr>
          <w:i/>
          <w:iCs/>
        </w:rPr>
        <w:t>Marin Audubon</w:t>
      </w:r>
      <w:r w:rsidRPr="00277749">
        <w:t>.</w:t>
      </w:r>
      <w:r>
        <w:rPr>
          <w:rStyle w:val="FootnoteReference"/>
        </w:rPr>
        <w:footnoteReference w:id="144"/>
      </w:r>
      <w:r w:rsidRPr="00277749">
        <w:t xml:space="preserve">  </w:t>
      </w:r>
      <w:r w:rsidR="001C299F">
        <w:t>In engaging in</w:t>
      </w:r>
      <w:r w:rsidR="000F549D">
        <w:t xml:space="preserve"> supplemental NEPA, the </w:t>
      </w:r>
      <w:r w:rsidR="001C299F">
        <w:t>Commission</w:t>
      </w:r>
      <w:r w:rsidR="000F549D">
        <w:t xml:space="preserve"> was carrying out its responsibilities under the s</w:t>
      </w:r>
      <w:r w:rsidR="001C299F">
        <w:t>tat</w:t>
      </w:r>
      <w:r w:rsidR="000F549D">
        <w:t xml:space="preserve">ute </w:t>
      </w:r>
      <w:r w:rsidR="00CE16E3" w:rsidRPr="00392D24">
        <w:t>based on the D.C. Circuit’s specific directives related to the air emissions issues that are the focus of the supplemental EIS</w:t>
      </w:r>
      <w:r w:rsidR="00CE16E3">
        <w:t xml:space="preserve"> </w:t>
      </w:r>
      <w:r w:rsidR="000F549D">
        <w:t>and therefore d</w:t>
      </w:r>
      <w:r w:rsidR="001C299F">
        <w:t>id</w:t>
      </w:r>
      <w:r w:rsidR="000F549D">
        <w:t xml:space="preserve"> not and need not </w:t>
      </w:r>
      <w:r w:rsidR="001C299F">
        <w:t>rely on CEQ regulations.</w:t>
      </w:r>
      <w:r w:rsidR="001C299F">
        <w:rPr>
          <w:rStyle w:val="FootnoteReference"/>
        </w:rPr>
        <w:footnoteReference w:id="145"/>
      </w:r>
    </w:p>
    <w:p w14:paraId="0537A302" w14:textId="77777777" w:rsidR="0067595C" w:rsidRDefault="0067595C" w:rsidP="0067595C">
      <w:pPr>
        <w:pStyle w:val="FERCparanumber"/>
      </w:pPr>
      <w:r>
        <w:t>Venture Global next argues that because the Commission has already decided to authorize the project, and rehearing was denied by operation of law, Federal action was complete and thus, there is no basis for a supplemental EIS.</w:t>
      </w:r>
      <w:r>
        <w:rPr>
          <w:rStyle w:val="FootnoteReference"/>
        </w:rPr>
        <w:footnoteReference w:id="146"/>
      </w:r>
      <w:r>
        <w:t xml:space="preserve">  Although it concedes that the Commission retained authority to modify its decision, it nevertheless argues that the Commission should be required to demonstrate some “especially compelling need” for supplemental NEPA given the late stage in the proceeding and that Federal action is complete.</w:t>
      </w:r>
      <w:r>
        <w:rPr>
          <w:rStyle w:val="FootnoteReference"/>
        </w:rPr>
        <w:footnoteReference w:id="147"/>
      </w:r>
    </w:p>
    <w:p w14:paraId="427529CA" w14:textId="77777777" w:rsidR="0067595C" w:rsidRDefault="0067595C" w:rsidP="0067595C">
      <w:pPr>
        <w:pStyle w:val="FERCparanumber"/>
      </w:pPr>
      <w:r>
        <w:t>We disagree.  The touchstone of whether NEPA applies to agency action is discretion,</w:t>
      </w:r>
      <w:r>
        <w:rPr>
          <w:rStyle w:val="FootnoteReference"/>
        </w:rPr>
        <w:footnoteReference w:id="148"/>
      </w:r>
      <w:r>
        <w:t xml:space="preserve"> and where</w:t>
      </w:r>
      <w:r w:rsidRPr="00D21DBD">
        <w:t xml:space="preserve"> </w:t>
      </w:r>
      <w:r>
        <w:t>an</w:t>
      </w:r>
      <w:r w:rsidRPr="00D21DBD">
        <w:t xml:space="preserve"> </w:t>
      </w:r>
      <w:r>
        <w:t>“</w:t>
      </w:r>
      <w:r w:rsidRPr="00D21DBD">
        <w:t xml:space="preserve">agency does not have sufficient discretion to affect the outcome of its actions, and its role is merely ministerial, the information that NEPA provides can have no </w:t>
      </w:r>
      <w:r>
        <w:t>[e]</w:t>
      </w:r>
      <w:r w:rsidRPr="00D21DBD">
        <w:t xml:space="preserve">ffect on the agency’s actions, and therefore NEPA is </w:t>
      </w:r>
      <w:r w:rsidRPr="00D21DBD">
        <w:lastRenderedPageBreak/>
        <w:t>inapplicable.</w:t>
      </w:r>
      <w:r>
        <w:t>”</w:t>
      </w:r>
      <w:r w:rsidRPr="00D21DBD">
        <w:rPr>
          <w:b/>
          <w:vertAlign w:val="superscript"/>
        </w:rPr>
        <w:footnoteReference w:id="149"/>
      </w:r>
      <w:r>
        <w:t xml:space="preserve">  Here, the Commission’s actions and authority on rehearing are more than ministerial.  As provided for in section 19(a) of the NGA, “e</w:t>
      </w:r>
      <w:r w:rsidRPr="00723F3E">
        <w:t xml:space="preserve">ven after federal court jurisdiction attaches and a petition is filed, the Commission retains the power to </w:t>
      </w:r>
      <w:r>
        <w:t>‘</w:t>
      </w:r>
      <w:r w:rsidRPr="00723F3E">
        <w:t>modify or set aside</w:t>
      </w:r>
      <w:r>
        <w:t>’</w:t>
      </w:r>
      <w:r w:rsidRPr="00723F3E">
        <w:t xml:space="preserve"> its findings and orders </w:t>
      </w:r>
      <w:r>
        <w:t>‘</w:t>
      </w:r>
      <w:r w:rsidRPr="00723F3E">
        <w:t>[u]ntil the record in a proceeding [is] filed in a court of appeals</w:t>
      </w:r>
      <w:r>
        <w:t>.’”</w:t>
      </w:r>
      <w:r>
        <w:rPr>
          <w:rStyle w:val="FootnoteReference"/>
        </w:rPr>
        <w:footnoteReference w:id="150"/>
      </w:r>
      <w:r>
        <w:t xml:space="preserve">  Because the record in this proceeding has not been filed in a court of appeals, and the Commission, on rehearing, may </w:t>
      </w:r>
      <w:r w:rsidRPr="00A720A8">
        <w:t>modify or set aside, in whole or in part, any finding</w:t>
      </w:r>
      <w:r>
        <w:t xml:space="preserve"> in the Authorization Order, we find that major federal action remains pending, and the Commission may properly engage in additional environmental review.  Accordingly, we also disagree with Venture Global’s suggestion that the Commission is required to </w:t>
      </w:r>
      <w:r w:rsidRPr="0083318C">
        <w:t xml:space="preserve">demonstrate some </w:t>
      </w:r>
      <w:r>
        <w:t>“</w:t>
      </w:r>
      <w:r w:rsidRPr="0083318C">
        <w:t>especially compelling need</w:t>
      </w:r>
      <w:r>
        <w:t>”</w:t>
      </w:r>
      <w:r w:rsidRPr="0083318C">
        <w:t xml:space="preserve"> for supplemental NEPA</w:t>
      </w:r>
      <w:r>
        <w:t xml:space="preserve"> in these circumstances.  Venture Global provides no authority for its contentions,</w:t>
      </w:r>
      <w:r>
        <w:rPr>
          <w:rStyle w:val="FootnoteReference"/>
        </w:rPr>
        <w:footnoteReference w:id="151"/>
      </w:r>
      <w:r>
        <w:t xml:space="preserve"> and we find such assertions fall short of the specificity required on rehearing.</w:t>
      </w:r>
      <w:r>
        <w:rPr>
          <w:rStyle w:val="FootnoteReference"/>
        </w:rPr>
        <w:footnoteReference w:id="152"/>
      </w:r>
      <w:r>
        <w:t xml:space="preserve"> </w:t>
      </w:r>
    </w:p>
    <w:p w14:paraId="23D10EB7" w14:textId="77777777" w:rsidR="0067595C" w:rsidRDefault="0067595C" w:rsidP="0067595C">
      <w:pPr>
        <w:pStyle w:val="FERCparanumber"/>
      </w:pPr>
      <w:r>
        <w:t>Venture Global next submits that the Commission decided to supplement its environmental analysis in order to evade the time limits for acting on a rehearing request.</w:t>
      </w:r>
      <w:r>
        <w:rPr>
          <w:rStyle w:val="FootnoteReference"/>
        </w:rPr>
        <w:footnoteReference w:id="153"/>
      </w:r>
      <w:r>
        <w:t xml:space="preserve">  It argues that the Commission’s decision to engage in additional NEPA analysis is akin to its prior tolling order practice that was prohibited in </w:t>
      </w:r>
      <w:r>
        <w:rPr>
          <w:i/>
          <w:iCs/>
        </w:rPr>
        <w:t xml:space="preserve">Allegheny Defense </w:t>
      </w:r>
      <w:r w:rsidR="00475DA6">
        <w:rPr>
          <w:i/>
          <w:iCs/>
        </w:rPr>
        <w:t>Project</w:t>
      </w:r>
      <w:r w:rsidR="00475DA6">
        <w:t xml:space="preserve"> </w:t>
      </w:r>
      <w:r>
        <w:t>and that the only rationale for conducting supplemental NEPA is that the Commission needed additional time to consider the air issues.</w:t>
      </w:r>
      <w:r>
        <w:rPr>
          <w:rStyle w:val="FootnoteReference"/>
        </w:rPr>
        <w:footnoteReference w:id="154"/>
      </w:r>
      <w:r>
        <w:t xml:space="preserve">  It asserts, without </w:t>
      </w:r>
      <w:r>
        <w:lastRenderedPageBreak/>
        <w:t xml:space="preserve">evidence, that the gathering of additional information was a pretext for granting a limited rehearing which is inconsistent with </w:t>
      </w:r>
      <w:r>
        <w:rPr>
          <w:i/>
          <w:iCs/>
        </w:rPr>
        <w:t>Allegheny Defense Project</w:t>
      </w:r>
      <w:r>
        <w:t>.</w:t>
      </w:r>
      <w:r>
        <w:rPr>
          <w:rStyle w:val="FootnoteReference"/>
        </w:rPr>
        <w:footnoteReference w:id="155"/>
      </w:r>
      <w:r>
        <w:t xml:space="preserve">  </w:t>
      </w:r>
    </w:p>
    <w:p w14:paraId="262E3E46" w14:textId="77777777" w:rsidR="0067595C" w:rsidRDefault="0067595C" w:rsidP="0067595C">
      <w:pPr>
        <w:pStyle w:val="FERCparanumber"/>
      </w:pPr>
      <w:r>
        <w:t xml:space="preserve">We disagree.  As an initial matter, we find this proceeding distinguishable from </w:t>
      </w:r>
      <w:r>
        <w:rPr>
          <w:i/>
          <w:iCs/>
        </w:rPr>
        <w:t xml:space="preserve">Allegheny Defense </w:t>
      </w:r>
      <w:r w:rsidR="00475DA6">
        <w:rPr>
          <w:i/>
          <w:iCs/>
        </w:rPr>
        <w:t>Project</w:t>
      </w:r>
      <w:r w:rsidR="00371A68" w:rsidRPr="00371A68">
        <w:t xml:space="preserve">, which </w:t>
      </w:r>
      <w:r w:rsidR="00295B7D" w:rsidRPr="00521604">
        <w:t>barred the Commission’s use of tolling orders to</w:t>
      </w:r>
      <w:r w:rsidR="00295B7D" w:rsidRPr="00371A68">
        <w:t xml:space="preserve"> </w:t>
      </w:r>
      <w:r w:rsidR="00371A68" w:rsidRPr="00371A68">
        <w:t>prevent rehearing applications from being deemed denied by agency inaction and preclude the applicant from seeking judicial review until the Commission acts</w:t>
      </w:r>
      <w:r>
        <w:t>.</w:t>
      </w:r>
      <w:r>
        <w:rPr>
          <w:rStyle w:val="FootnoteReference"/>
        </w:rPr>
        <w:footnoteReference w:id="156"/>
      </w:r>
      <w:r>
        <w:t xml:space="preserve">  Here, the Commission issued a </w:t>
      </w:r>
      <w:r>
        <w:rPr>
          <w:i/>
          <w:iCs/>
        </w:rPr>
        <w:t>Notice of Denial of Rehearing by Operation of Law and Providing for Further Consideration</w:t>
      </w:r>
      <w:r>
        <w:t xml:space="preserve"> which informed parties that the request for rehearing may be deemed denied by operation of law, allowing aggrieved parties to seek judicial review, while </w:t>
      </w:r>
      <w:r w:rsidR="00295B7D" w:rsidRPr="00521604">
        <w:t>noting</w:t>
      </w:r>
      <w:r w:rsidR="00295B7D">
        <w:t xml:space="preserve"> </w:t>
      </w:r>
      <w:r>
        <w:t>the Commission’s authority to modify or set aside the order as it deems proper.</w:t>
      </w:r>
      <w:r>
        <w:rPr>
          <w:rStyle w:val="FootnoteReference"/>
        </w:rPr>
        <w:footnoteReference w:id="157"/>
      </w:r>
      <w:r>
        <w:t xml:space="preserve">  Indeed Petitioners petitioned for judicial review and, the Commission, along with Petitioners and Venture Global, agreed to an abeyance of the administrative record filing deadline until the Commission concluded its supplemental NEPA.  </w:t>
      </w:r>
    </w:p>
    <w:p w14:paraId="5717DB52" w14:textId="77777777" w:rsidR="00A9469A" w:rsidRDefault="00A9469A" w:rsidP="0067595C">
      <w:pPr>
        <w:pStyle w:val="FERCparanumber"/>
      </w:pPr>
      <w:r>
        <w:t>Last</w:t>
      </w:r>
      <w:r w:rsidRPr="00A9469A">
        <w:t xml:space="preserve">, Venture Global maintains that the Commission created uncertainty </w:t>
      </w:r>
      <w:r w:rsidR="009E66DA">
        <w:t xml:space="preserve">in the Rehearing Order </w:t>
      </w:r>
      <w:r w:rsidRPr="00A9469A">
        <w:t>by stating “other air quality issues raised by Petitioners” would be addressed in a future order.</w:t>
      </w:r>
      <w:r>
        <w:rPr>
          <w:rStyle w:val="FootnoteReference"/>
        </w:rPr>
        <w:footnoteReference w:id="158"/>
      </w:r>
      <w:r w:rsidRPr="00A9469A">
        <w:t xml:space="preserve">  Because we address Petitioners’ </w:t>
      </w:r>
      <w:r w:rsidR="00CC59B7" w:rsidRPr="00A9469A">
        <w:t xml:space="preserve">other air quality issues </w:t>
      </w:r>
      <w:r w:rsidRPr="00A9469A">
        <w:t>in this order, we find Venture Global’s arguments moot.</w:t>
      </w:r>
      <w:r>
        <w:rPr>
          <w:rStyle w:val="FootnoteReference"/>
        </w:rPr>
        <w:footnoteReference w:id="159"/>
      </w:r>
    </w:p>
    <w:p w14:paraId="4945B51A" w14:textId="77777777" w:rsidR="001276F4" w:rsidRDefault="00192373" w:rsidP="001276F4">
      <w:pPr>
        <w:pStyle w:val="Heading1"/>
      </w:pPr>
      <w:r>
        <w:t>Substantive Issues</w:t>
      </w:r>
    </w:p>
    <w:p w14:paraId="124177E5" w14:textId="77777777" w:rsidR="003B6FB7" w:rsidRPr="003B6FB7" w:rsidRDefault="003B6FB7" w:rsidP="00055C7A">
      <w:pPr>
        <w:pStyle w:val="FERCparanumber"/>
      </w:pPr>
      <w:r>
        <w:t>Petitioners assert that the Commission</w:t>
      </w:r>
      <w:r w:rsidR="0038746F">
        <w:t xml:space="preserve">:  </w:t>
      </w:r>
      <w:r>
        <w:t>(1) improperly relied on an updated air monitoring station for its PM</w:t>
      </w:r>
      <w:r w:rsidRPr="00524AC0">
        <w:rPr>
          <w:vertAlign w:val="subscript"/>
        </w:rPr>
        <w:t>2.5</w:t>
      </w:r>
      <w:r>
        <w:t xml:space="preserve"> cumulative impacts analysis without adequate explanation, (2) </w:t>
      </w:r>
      <w:r w:rsidRPr="00EC2960">
        <w:t xml:space="preserve">improperly </w:t>
      </w:r>
      <w:r w:rsidR="00371A68">
        <w:t xml:space="preserve">relied on </w:t>
      </w:r>
      <w:r>
        <w:t>SILs in its</w:t>
      </w:r>
      <w:r w:rsidRPr="00EC2960">
        <w:t xml:space="preserve"> cause or contribute </w:t>
      </w:r>
      <w:r>
        <w:t xml:space="preserve">analysis contrary </w:t>
      </w:r>
      <w:r w:rsidRPr="00EC2960">
        <w:t xml:space="preserve">to </w:t>
      </w:r>
      <w:r>
        <w:rPr>
          <w:i/>
          <w:iCs/>
        </w:rPr>
        <w:t>Healthy Gulf</w:t>
      </w:r>
      <w:r>
        <w:t>, (3)</w:t>
      </w:r>
      <w:r>
        <w:rPr>
          <w:i/>
          <w:iCs/>
        </w:rPr>
        <w:t xml:space="preserve"> </w:t>
      </w:r>
      <w:r>
        <w:t>failed to include</w:t>
      </w:r>
      <w:r w:rsidRPr="001276F4">
        <w:t xml:space="preserve"> foreseeable mobile sources, such as LNG tankers associated with other nearby LNG terminals</w:t>
      </w:r>
      <w:r>
        <w:t xml:space="preserve"> in its cumulative air impacts analysis, (4) has </w:t>
      </w:r>
      <w:r w:rsidRPr="009A13FD">
        <w:t>acted inconsistently in its review of LNG projects</w:t>
      </w:r>
      <w:r>
        <w:t xml:space="preserve"> such as </w:t>
      </w:r>
      <w:r w:rsidRPr="009A13FD">
        <w:t>Commonwealth LNG terminal</w:t>
      </w:r>
      <w:r>
        <w:t xml:space="preserve"> with regard to the geographic scope of air impacts, (5) improperly evaluated criteria pollutants and health impacts under the NAAQS, including arguments that the NAAQS is insufficient, (6) failed to account for peak operating capacity emissions and emissions </w:t>
      </w:r>
      <w:r>
        <w:lastRenderedPageBreak/>
        <w:t>from uprated facilities, (7) inadequately consider</w:t>
      </w:r>
      <w:r w:rsidR="00C06F28">
        <w:t>ed</w:t>
      </w:r>
      <w:r>
        <w:t xml:space="preserve"> construction emissions and mitigation, and (8) failed to independently verify air modeling submitted by Venture Global.  We address each of these arguments below.</w:t>
      </w:r>
    </w:p>
    <w:p w14:paraId="74A150AC" w14:textId="77777777" w:rsidR="00F545CB" w:rsidRPr="00F05BFA" w:rsidRDefault="00B43300" w:rsidP="00055C7A">
      <w:pPr>
        <w:pStyle w:val="Heading2"/>
      </w:pPr>
      <w:r>
        <w:t>Cumulative Air Modeling</w:t>
      </w:r>
      <w:r w:rsidR="002A6FA1">
        <w:t xml:space="preserve"> for Operational Emissions</w:t>
      </w:r>
    </w:p>
    <w:p w14:paraId="6BA0D76F" w14:textId="77777777" w:rsidR="00974A18" w:rsidRDefault="00974A18" w:rsidP="001276F4">
      <w:pPr>
        <w:pStyle w:val="Heading3"/>
      </w:pPr>
      <w:r>
        <w:t>Choice of Air Monitor</w:t>
      </w:r>
      <w:r w:rsidR="00837829">
        <w:t>ing Station</w:t>
      </w:r>
      <w:r w:rsidR="00894A41">
        <w:t xml:space="preserve"> for Modeling </w:t>
      </w:r>
      <w:r w:rsidR="00894A41" w:rsidRPr="001276F4">
        <w:t>PM</w:t>
      </w:r>
      <w:r w:rsidR="00894A41" w:rsidRPr="001276F4">
        <w:rPr>
          <w:vertAlign w:val="subscript"/>
        </w:rPr>
        <w:t>2.5</w:t>
      </w:r>
      <w:r w:rsidR="00894A41" w:rsidRPr="001276F4">
        <w:t xml:space="preserve"> </w:t>
      </w:r>
      <w:r w:rsidR="00894A41">
        <w:t xml:space="preserve"> </w:t>
      </w:r>
    </w:p>
    <w:p w14:paraId="1475AE65" w14:textId="77777777" w:rsidR="00974A18" w:rsidRPr="001276F4" w:rsidRDefault="00974A18" w:rsidP="00974A18">
      <w:pPr>
        <w:pStyle w:val="FERCparanumber"/>
      </w:pPr>
      <w:r w:rsidRPr="001276F4">
        <w:t xml:space="preserve">Petitioners </w:t>
      </w:r>
      <w:r w:rsidR="006E5960">
        <w:t xml:space="preserve">note </w:t>
      </w:r>
      <w:r w:rsidRPr="001276F4">
        <w:t xml:space="preserve">that </w:t>
      </w:r>
      <w:r w:rsidR="00F0272B">
        <w:t xml:space="preserve">in the Authorization Order </w:t>
      </w:r>
      <w:r w:rsidRPr="001276F4">
        <w:t xml:space="preserve">the Commission </w:t>
      </w:r>
      <w:r w:rsidR="00F0272B">
        <w:t xml:space="preserve">relied on data </w:t>
      </w:r>
      <w:r w:rsidR="00BC1E28">
        <w:t>provided by</w:t>
      </w:r>
      <w:r w:rsidR="00F0272B">
        <w:t xml:space="preserve"> </w:t>
      </w:r>
      <w:r w:rsidR="00BC1E28">
        <w:t>Venture Global</w:t>
      </w:r>
      <w:r w:rsidR="00093B73">
        <w:t xml:space="preserve"> </w:t>
      </w:r>
      <w:r w:rsidR="00F0272B">
        <w:t>from a different</w:t>
      </w:r>
      <w:r w:rsidRPr="001276F4">
        <w:t xml:space="preserve"> </w:t>
      </w:r>
      <w:r w:rsidR="00992CBB">
        <w:t xml:space="preserve">air </w:t>
      </w:r>
      <w:r w:rsidRPr="001276F4">
        <w:t xml:space="preserve">monitor </w:t>
      </w:r>
      <w:r w:rsidR="006E5960">
        <w:t xml:space="preserve">(Vinton Monitoring Station) </w:t>
      </w:r>
      <w:r w:rsidR="00F0272B">
        <w:t xml:space="preserve">than </w:t>
      </w:r>
      <w:r w:rsidR="00DF5360">
        <w:t xml:space="preserve">that </w:t>
      </w:r>
      <w:r w:rsidRPr="001276F4">
        <w:t>used for the baseline</w:t>
      </w:r>
      <w:r w:rsidR="00423A13">
        <w:t xml:space="preserve"> for PM</w:t>
      </w:r>
      <w:r w:rsidR="00423A13" w:rsidRPr="00167414">
        <w:rPr>
          <w:vertAlign w:val="subscript"/>
        </w:rPr>
        <w:t>2.5</w:t>
      </w:r>
      <w:r w:rsidRPr="001276F4">
        <w:t xml:space="preserve"> </w:t>
      </w:r>
      <w:r w:rsidR="009E0625">
        <w:t xml:space="preserve">in the </w:t>
      </w:r>
      <w:r w:rsidR="00F0272B">
        <w:t>final EIS</w:t>
      </w:r>
      <w:r w:rsidR="009E0625">
        <w:t xml:space="preserve"> </w:t>
      </w:r>
      <w:r w:rsidR="006E5960">
        <w:t xml:space="preserve">(West Orange Monitoring Station) </w:t>
      </w:r>
      <w:r w:rsidRPr="001276F4">
        <w:t xml:space="preserve">and </w:t>
      </w:r>
      <w:r w:rsidR="000E65DB">
        <w:t>argue</w:t>
      </w:r>
      <w:r w:rsidRPr="001276F4">
        <w:t xml:space="preserve"> that had the Commission used the </w:t>
      </w:r>
      <w:r w:rsidR="00992CBB">
        <w:t xml:space="preserve">West Orange Monitoring Station </w:t>
      </w:r>
      <w:r w:rsidRPr="001276F4">
        <w:t>it would have shown significant PM</w:t>
      </w:r>
      <w:r w:rsidRPr="001276F4">
        <w:rPr>
          <w:vertAlign w:val="subscript"/>
        </w:rPr>
        <w:t>2.5</w:t>
      </w:r>
      <w:r w:rsidRPr="001276F4">
        <w:t xml:space="preserve"> impacts </w:t>
      </w:r>
      <w:r w:rsidR="00D906B0">
        <w:t xml:space="preserve">under the </w:t>
      </w:r>
      <w:r w:rsidRPr="001276F4">
        <w:t>EPA</w:t>
      </w:r>
      <w:r w:rsidR="00D906B0">
        <w:t xml:space="preserve">’s </w:t>
      </w:r>
      <w:r w:rsidR="002C056F">
        <w:t>2024</w:t>
      </w:r>
      <w:r w:rsidR="00992CBB">
        <w:t xml:space="preserve"> NAAQS threshold</w:t>
      </w:r>
      <w:r w:rsidRPr="001276F4">
        <w:t>.</w:t>
      </w:r>
      <w:r w:rsidRPr="001276F4">
        <w:rPr>
          <w:b/>
          <w:vertAlign w:val="superscript"/>
        </w:rPr>
        <w:footnoteReference w:id="160"/>
      </w:r>
      <w:r w:rsidRPr="001276F4">
        <w:t xml:space="preserve">  Petitioners </w:t>
      </w:r>
      <w:r w:rsidR="00992CBB">
        <w:t>maintain</w:t>
      </w:r>
      <w:r w:rsidR="00992CBB" w:rsidRPr="001276F4">
        <w:t xml:space="preserve"> </w:t>
      </w:r>
      <w:r w:rsidRPr="001276F4">
        <w:t xml:space="preserve">that, despite public comments calling into question the validity of the </w:t>
      </w:r>
      <w:r w:rsidR="00BB5EA7">
        <w:t>Vinton</w:t>
      </w:r>
      <w:r w:rsidR="0089435B">
        <w:t xml:space="preserve"> Monitoring</w:t>
      </w:r>
      <w:r w:rsidR="00380E12">
        <w:t xml:space="preserve"> Station</w:t>
      </w:r>
      <w:r w:rsidRPr="001276F4">
        <w:t xml:space="preserve">, the Commission failed to explain </w:t>
      </w:r>
      <w:r w:rsidR="00C3398C">
        <w:t>if</w:t>
      </w:r>
      <w:r w:rsidR="00C3398C" w:rsidRPr="001276F4">
        <w:t xml:space="preserve"> </w:t>
      </w:r>
      <w:r w:rsidRPr="001276F4">
        <w:t>it adopted CP2 LNG’s choice of PM</w:t>
      </w:r>
      <w:r w:rsidRPr="001276F4">
        <w:rPr>
          <w:vertAlign w:val="subscript"/>
        </w:rPr>
        <w:t>2.5</w:t>
      </w:r>
      <w:r w:rsidRPr="001276F4">
        <w:t xml:space="preserve"> air monitor.</w:t>
      </w:r>
      <w:r w:rsidRPr="001276F4">
        <w:rPr>
          <w:b/>
          <w:vertAlign w:val="superscript"/>
        </w:rPr>
        <w:footnoteReference w:id="161"/>
      </w:r>
    </w:p>
    <w:p w14:paraId="01B00FEB" w14:textId="77777777" w:rsidR="00956214" w:rsidRDefault="00956214" w:rsidP="00974A18">
      <w:pPr>
        <w:pStyle w:val="FERCparanumber"/>
      </w:pPr>
      <w:r>
        <w:t xml:space="preserve">EPA’s procedures for monitor station selection in a multi-source area recommends </w:t>
      </w:r>
      <w:r w:rsidRPr="00E33739">
        <w:t>visually and qualitatively assessing the modeling domain and</w:t>
      </w:r>
      <w:r>
        <w:t xml:space="preserve"> </w:t>
      </w:r>
      <w:r w:rsidRPr="00E33739">
        <w:t>its available characteristics (e.g., monitor locations and scales, terrain features,</w:t>
      </w:r>
      <w:r>
        <w:t xml:space="preserve"> </w:t>
      </w:r>
      <w:r w:rsidRPr="00E33739">
        <w:t>wind rose data, etc.)</w:t>
      </w:r>
      <w:r>
        <w:t xml:space="preserve"> and, where</w:t>
      </w:r>
      <w:r w:rsidRPr="00E33739">
        <w:t xml:space="preserve"> there are one or more monitors within th</w:t>
      </w:r>
      <w:r>
        <w:t xml:space="preserve">e </w:t>
      </w:r>
      <w:r w:rsidRPr="00E33739">
        <w:t>vicinity of the project area, exercise professional judgment</w:t>
      </w:r>
      <w:r>
        <w:t xml:space="preserve"> </w:t>
      </w:r>
      <w:r w:rsidRPr="00E33739">
        <w:t>to determine whether the selected monitor is representative of the background</w:t>
      </w:r>
      <w:r>
        <w:t xml:space="preserve"> </w:t>
      </w:r>
      <w:r w:rsidRPr="00E33739">
        <w:t>concentration in the project area.</w:t>
      </w:r>
      <w:r>
        <w:rPr>
          <w:rStyle w:val="FootnoteReference"/>
        </w:rPr>
        <w:footnoteReference w:id="162"/>
      </w:r>
      <w:r w:rsidRPr="00E33739">
        <w:t xml:space="preserve"> </w:t>
      </w:r>
      <w:r>
        <w:t xml:space="preserve"> </w:t>
      </w:r>
      <w:r w:rsidRPr="00E33739">
        <w:t xml:space="preserve">EPA </w:t>
      </w:r>
      <w:r>
        <w:t xml:space="preserve">also </w:t>
      </w:r>
      <w:r w:rsidRPr="00E33739">
        <w:t>generally recommends using data from</w:t>
      </w:r>
      <w:r>
        <w:t xml:space="preserve"> </w:t>
      </w:r>
      <w:r w:rsidRPr="00E33739">
        <w:t xml:space="preserve">the closest upwind monitor to the project; however, </w:t>
      </w:r>
      <w:r>
        <w:t>it recommends assessing</w:t>
      </w:r>
      <w:r w:rsidRPr="00E33739">
        <w:t xml:space="preserve"> the</w:t>
      </w:r>
      <w:r>
        <w:t xml:space="preserve"> </w:t>
      </w:r>
      <w:r w:rsidRPr="00E33739">
        <w:t>representativeness of the monitor location and not solely choos</w:t>
      </w:r>
      <w:r>
        <w:t>ing one</w:t>
      </w:r>
      <w:r w:rsidRPr="00E33739">
        <w:t xml:space="preserve"> based on</w:t>
      </w:r>
      <w:r>
        <w:t xml:space="preserve"> </w:t>
      </w:r>
      <w:r w:rsidRPr="00E33739">
        <w:t>proximity.</w:t>
      </w:r>
      <w:r>
        <w:rPr>
          <w:rStyle w:val="FootnoteReference"/>
        </w:rPr>
        <w:footnoteReference w:id="163"/>
      </w:r>
      <w:r w:rsidRPr="00E33739">
        <w:t xml:space="preserve"> </w:t>
      </w:r>
      <w:r>
        <w:t xml:space="preserve"> It further recommends that d</w:t>
      </w:r>
      <w:r w:rsidRPr="00E33739">
        <w:t>ata on the location (i.e., urban vs. rural), wind patterns, and terrain</w:t>
      </w:r>
      <w:r>
        <w:t xml:space="preserve"> </w:t>
      </w:r>
      <w:r w:rsidRPr="00E33739">
        <w:t>features at both the monitor and the source under consideration may be used</w:t>
      </w:r>
      <w:r>
        <w:t xml:space="preserve"> </w:t>
      </w:r>
      <w:r w:rsidRPr="00E33739">
        <w:t>to inform the selection of representative background concentration data.</w:t>
      </w:r>
      <w:r>
        <w:rPr>
          <w:rStyle w:val="FootnoteReference"/>
        </w:rPr>
        <w:footnoteReference w:id="164"/>
      </w:r>
      <w:r>
        <w:t xml:space="preserve">  </w:t>
      </w:r>
      <w:r w:rsidR="007A0330" w:rsidRPr="007A0330">
        <w:t xml:space="preserve">In carrying out its NEPA responsibilities, Commission staff </w:t>
      </w:r>
      <w:r w:rsidR="000E553B">
        <w:t xml:space="preserve">often </w:t>
      </w:r>
      <w:r w:rsidR="007A0330" w:rsidRPr="007A0330">
        <w:t>relies on other agencies’ expertise, including that of the EPA and</w:t>
      </w:r>
      <w:r w:rsidR="00C95426">
        <w:t>, in this case,</w:t>
      </w:r>
      <w:r w:rsidR="007A0330" w:rsidRPr="007A0330">
        <w:t xml:space="preserve"> </w:t>
      </w:r>
      <w:r w:rsidR="008A44F2">
        <w:t>L</w:t>
      </w:r>
      <w:r w:rsidR="007A0330" w:rsidRPr="007A0330">
        <w:t xml:space="preserve">DEQ, which establish </w:t>
      </w:r>
      <w:r w:rsidR="007A0330" w:rsidRPr="007A0330">
        <w:lastRenderedPageBreak/>
        <w:t>methodologies and standards for assessing air quality impacts.</w:t>
      </w:r>
      <w:r w:rsidR="000C6286">
        <w:rPr>
          <w:rStyle w:val="FootnoteReference"/>
        </w:rPr>
        <w:footnoteReference w:id="165"/>
      </w:r>
      <w:r w:rsidR="007A0330" w:rsidRPr="007A0330">
        <w:t xml:space="preserve">  </w:t>
      </w:r>
      <w:r w:rsidR="00FD6922">
        <w:t>Because the</w:t>
      </w:r>
      <w:r w:rsidR="00FB7A42" w:rsidRPr="00FB7A42">
        <w:t xml:space="preserve"> EPA and the states are vested with authority under the CAA</w:t>
      </w:r>
      <w:r w:rsidR="009E0625">
        <w:t>,</w:t>
      </w:r>
      <w:r w:rsidR="005A21C1">
        <w:t xml:space="preserve"> </w:t>
      </w:r>
      <w:r w:rsidR="003170C5">
        <w:t xml:space="preserve">the Commission may </w:t>
      </w:r>
      <w:r w:rsidR="000E553B">
        <w:t>appropriately rely</w:t>
      </w:r>
      <w:r w:rsidR="00CA7B6F">
        <w:t xml:space="preserve"> </w:t>
      </w:r>
      <w:r w:rsidR="000E553B">
        <w:t>on their</w:t>
      </w:r>
      <w:r w:rsidR="00CA7B6F">
        <w:t xml:space="preserve"> recommended </w:t>
      </w:r>
      <w:r w:rsidR="00A06DD6">
        <w:t>selection criteria.</w:t>
      </w:r>
      <w:r w:rsidR="00A06DD6">
        <w:rPr>
          <w:rStyle w:val="FootnoteReference"/>
        </w:rPr>
        <w:footnoteReference w:id="166"/>
      </w:r>
    </w:p>
    <w:p w14:paraId="5A5F58D3" w14:textId="77777777" w:rsidR="00E613FA" w:rsidRDefault="00974A18" w:rsidP="00974A18">
      <w:pPr>
        <w:pStyle w:val="FERCparanumber"/>
      </w:pPr>
      <w:r w:rsidRPr="001276F4">
        <w:t xml:space="preserve">As explained in the Authorization Order, </w:t>
      </w:r>
      <w:r w:rsidR="00024F3D">
        <w:t>Venture Global</w:t>
      </w:r>
      <w:r w:rsidRPr="001276F4">
        <w:t xml:space="preserve"> updated its air dispersion modeling to use the PM</w:t>
      </w:r>
      <w:r w:rsidRPr="001276F4">
        <w:rPr>
          <w:vertAlign w:val="subscript"/>
        </w:rPr>
        <w:t>2.5</w:t>
      </w:r>
      <w:r w:rsidRPr="001276F4">
        <w:t xml:space="preserve"> design value derived from ambient air data collected at the </w:t>
      </w:r>
      <w:r w:rsidR="009E0625">
        <w:t>Vinton Monitoring Station</w:t>
      </w:r>
      <w:r w:rsidRPr="001276F4">
        <w:t>.</w:t>
      </w:r>
      <w:r w:rsidRPr="001276F4">
        <w:rPr>
          <w:b/>
          <w:vertAlign w:val="superscript"/>
        </w:rPr>
        <w:footnoteReference w:id="167"/>
      </w:r>
      <w:r w:rsidRPr="001276F4">
        <w:t xml:space="preserve">  </w:t>
      </w:r>
      <w:r w:rsidR="00024F3D">
        <w:t>Venture Global</w:t>
      </w:r>
      <w:r w:rsidRPr="001276F4">
        <w:t xml:space="preserve"> </w:t>
      </w:r>
      <w:r w:rsidR="00992F4F">
        <w:t>explained</w:t>
      </w:r>
      <w:r w:rsidR="00992F4F" w:rsidRPr="001276F4">
        <w:t xml:space="preserve"> </w:t>
      </w:r>
      <w:r w:rsidRPr="001276F4">
        <w:t xml:space="preserve">that the ambient air conditions at </w:t>
      </w:r>
      <w:r w:rsidR="00992F4F">
        <w:t>that location</w:t>
      </w:r>
      <w:r w:rsidRPr="001276F4">
        <w:t xml:space="preserve"> are more representative of the project area than at the </w:t>
      </w:r>
      <w:r w:rsidR="00C7439E">
        <w:t xml:space="preserve">West Orange Monitoring Station </w:t>
      </w:r>
      <w:r w:rsidRPr="001276F4">
        <w:t>used in its initial modeling based on proximity, population density, and air emissions profile.</w:t>
      </w:r>
      <w:r w:rsidRPr="001276F4">
        <w:rPr>
          <w:b/>
          <w:vertAlign w:val="superscript"/>
        </w:rPr>
        <w:footnoteReference w:id="168"/>
      </w:r>
      <w:r w:rsidRPr="001276F4">
        <w:t xml:space="preserve">  </w:t>
      </w:r>
      <w:r w:rsidR="00024F3D">
        <w:t>Venture Global</w:t>
      </w:r>
      <w:r w:rsidRPr="001276F4">
        <w:t xml:space="preserve"> </w:t>
      </w:r>
      <w:r w:rsidR="00BB2137">
        <w:t xml:space="preserve">further </w:t>
      </w:r>
      <w:r w:rsidRPr="001276F4">
        <w:t>state</w:t>
      </w:r>
      <w:r w:rsidR="00BB2137">
        <w:t>d</w:t>
      </w:r>
      <w:r w:rsidRPr="001276F4">
        <w:t xml:space="preserve"> that it originally used the design value from the West Orange </w:t>
      </w:r>
      <w:r w:rsidR="00C7439E">
        <w:t>Monitoring Station</w:t>
      </w:r>
      <w:r w:rsidRPr="001276F4">
        <w:t xml:space="preserve"> because, at </w:t>
      </w:r>
      <w:r w:rsidR="009A110E" w:rsidRPr="001276F4">
        <w:t>th</w:t>
      </w:r>
      <w:r w:rsidR="009A110E">
        <w:t>e</w:t>
      </w:r>
      <w:r w:rsidR="009A110E" w:rsidRPr="001276F4">
        <w:t xml:space="preserve"> </w:t>
      </w:r>
      <w:r w:rsidRPr="001276F4">
        <w:t>time</w:t>
      </w:r>
      <w:r w:rsidR="00C7439E">
        <w:t xml:space="preserve"> </w:t>
      </w:r>
      <w:r w:rsidR="00992F4F">
        <w:t xml:space="preserve">the </w:t>
      </w:r>
      <w:r w:rsidR="00C7439E">
        <w:t>air modeling was performed</w:t>
      </w:r>
      <w:r w:rsidRPr="001276F4">
        <w:t xml:space="preserve">, the data from the Vinton </w:t>
      </w:r>
      <w:r w:rsidR="00C7439E">
        <w:t>Monitoring Station</w:t>
      </w:r>
      <w:r w:rsidRPr="001276F4">
        <w:t xml:space="preserve"> was considered incomplete due to a 2021 hurricane; however, in early 2024, </w:t>
      </w:r>
      <w:r w:rsidR="00024F3D">
        <w:t>Venture Global</w:t>
      </w:r>
      <w:r w:rsidRPr="001276F4">
        <w:t xml:space="preserve"> states that </w:t>
      </w:r>
      <w:r w:rsidR="00992F4F">
        <w:t xml:space="preserve">the </w:t>
      </w:r>
      <w:r w:rsidRPr="001276F4">
        <w:t xml:space="preserve">EPA </w:t>
      </w:r>
      <w:r w:rsidR="00992F4F">
        <w:t xml:space="preserve">found </w:t>
      </w:r>
      <w:r w:rsidRPr="001276F4">
        <w:t xml:space="preserve">the Vinton </w:t>
      </w:r>
      <w:r w:rsidR="00024F3D">
        <w:t>Monitoring Station’s</w:t>
      </w:r>
      <w:r w:rsidRPr="001276F4">
        <w:t xml:space="preserve"> data from 2020 to 2022 </w:t>
      </w:r>
      <w:r w:rsidR="00992F4F">
        <w:t>to be</w:t>
      </w:r>
      <w:r w:rsidR="00992F4F" w:rsidRPr="001276F4">
        <w:t xml:space="preserve"> </w:t>
      </w:r>
      <w:r w:rsidRPr="001276F4">
        <w:t>valid and acceptable for use.</w:t>
      </w:r>
      <w:r w:rsidRPr="001276F4">
        <w:rPr>
          <w:b/>
          <w:vertAlign w:val="superscript"/>
        </w:rPr>
        <w:footnoteReference w:id="169"/>
      </w:r>
      <w:r w:rsidRPr="001276F4">
        <w:t xml:space="preserve">  </w:t>
      </w:r>
    </w:p>
    <w:p w14:paraId="16DF882D" w14:textId="77777777" w:rsidR="00E613FA" w:rsidRDefault="00024F3D" w:rsidP="001A1A14">
      <w:pPr>
        <w:pStyle w:val="FERCparanumber"/>
      </w:pPr>
      <w:r>
        <w:t>T</w:t>
      </w:r>
      <w:r w:rsidR="00624485">
        <w:t>o en</w:t>
      </w:r>
      <w:r w:rsidR="003806B9">
        <w:t>sure a full evaluation of Venture Global’s choice of air monitor</w:t>
      </w:r>
      <w:r w:rsidR="008C2C2E">
        <w:t xml:space="preserve"> for PM</w:t>
      </w:r>
      <w:r w:rsidR="008C2C2E" w:rsidRPr="00167414">
        <w:rPr>
          <w:vertAlign w:val="subscript"/>
        </w:rPr>
        <w:t>2.5</w:t>
      </w:r>
      <w:r w:rsidR="003806B9">
        <w:t xml:space="preserve">, </w:t>
      </w:r>
      <w:r w:rsidR="00B13907">
        <w:t xml:space="preserve">following the Rehearing Order, </w:t>
      </w:r>
      <w:r w:rsidR="003806B9">
        <w:t xml:space="preserve">Commission staff requested Venture Global </w:t>
      </w:r>
      <w:r w:rsidR="00DD70C0">
        <w:t xml:space="preserve">further </w:t>
      </w:r>
      <w:r w:rsidR="00DD70C0">
        <w:lastRenderedPageBreak/>
        <w:t xml:space="preserve">explain </w:t>
      </w:r>
      <w:r w:rsidR="0012116C">
        <w:t xml:space="preserve">the selection of the Vinton Monitoring Station, </w:t>
      </w:r>
      <w:r w:rsidR="00B85EC9">
        <w:t xml:space="preserve">identify other monitors considered, and </w:t>
      </w:r>
      <w:r w:rsidR="00617381">
        <w:t>explain</w:t>
      </w:r>
      <w:r w:rsidR="00B85EC9">
        <w:t xml:space="preserve"> why they were rejected.</w:t>
      </w:r>
      <w:r w:rsidR="00B85EC9">
        <w:rPr>
          <w:rStyle w:val="FootnoteReference"/>
        </w:rPr>
        <w:footnoteReference w:id="170"/>
      </w:r>
      <w:r w:rsidR="00CD38F8">
        <w:t xml:space="preserve">  </w:t>
      </w:r>
      <w:r w:rsidR="002422DD">
        <w:t>In response</w:t>
      </w:r>
      <w:r w:rsidR="00951272">
        <w:t xml:space="preserve">, Venture Global explained that </w:t>
      </w:r>
      <w:r w:rsidR="00B73FD8">
        <w:t>the proximity to the facility, the surrounding area (e.g., land use and terrain), and the availability of data are key factors in the selection of the monitoring stations.</w:t>
      </w:r>
      <w:r w:rsidR="00B73FD8">
        <w:rPr>
          <w:rStyle w:val="FootnoteReference"/>
        </w:rPr>
        <w:footnoteReference w:id="171"/>
      </w:r>
      <w:r w:rsidR="004C0AED">
        <w:t xml:space="preserve">  </w:t>
      </w:r>
      <w:r w:rsidR="00772208">
        <w:t xml:space="preserve">The Vinton Monitoring Station </w:t>
      </w:r>
      <w:r w:rsidR="00FB7F68">
        <w:t>is the closest monitoring station</w:t>
      </w:r>
      <w:r w:rsidR="00084EF6">
        <w:t xml:space="preserve">, being </w:t>
      </w:r>
      <w:r w:rsidR="00FB7F68">
        <w:t>located approximately 55</w:t>
      </w:r>
      <w:r w:rsidR="004B6D7D">
        <w:t xml:space="preserve"> kilometers</w:t>
      </w:r>
      <w:r w:rsidR="00FB7F68">
        <w:t xml:space="preserve"> </w:t>
      </w:r>
      <w:r w:rsidR="004B6D7D">
        <w:t>(</w:t>
      </w:r>
      <w:r w:rsidR="00FB7F68">
        <w:t>km</w:t>
      </w:r>
      <w:r w:rsidR="004B6D7D">
        <w:t>)</w:t>
      </w:r>
      <w:r w:rsidR="00FB7F68">
        <w:t xml:space="preserve"> from the CP2 LNG Project and approximately 22 km from the Moss Lake Compressor Station.</w:t>
      </w:r>
      <w:r w:rsidR="00FB7F68">
        <w:rPr>
          <w:rStyle w:val="FootnoteReference"/>
        </w:rPr>
        <w:footnoteReference w:id="172"/>
      </w:r>
      <w:r w:rsidR="00FB7F68">
        <w:t xml:space="preserve">  </w:t>
      </w:r>
      <w:r w:rsidR="00461196">
        <w:t>The CP2 LNG Project, Moss Lake Compressor Station,</w:t>
      </w:r>
      <w:r w:rsidR="00084EF6">
        <w:t xml:space="preserve"> and Vinton Monitoring Station are </w:t>
      </w:r>
      <w:r w:rsidR="00C6061C">
        <w:t>located in similar areas (i.e., rural and undeveloped)</w:t>
      </w:r>
      <w:r w:rsidR="0074591A">
        <w:t xml:space="preserve"> with flat terrain and in the same climatological area of Louisiana.</w:t>
      </w:r>
      <w:r w:rsidR="0074591A">
        <w:rPr>
          <w:rStyle w:val="FootnoteReference"/>
        </w:rPr>
        <w:footnoteReference w:id="173"/>
      </w:r>
      <w:r w:rsidR="0019439E">
        <w:t xml:space="preserve">  </w:t>
      </w:r>
      <w:r>
        <w:t xml:space="preserve">Venture Global also </w:t>
      </w:r>
      <w:r w:rsidR="00AB0606">
        <w:t xml:space="preserve">repeated </w:t>
      </w:r>
      <w:r w:rsidR="006017D2">
        <w:t xml:space="preserve">its justification for previously using the West Orange Monitoring Station (i.e., due to </w:t>
      </w:r>
      <w:r w:rsidR="000F6732">
        <w:t>hurricane-caused data issues</w:t>
      </w:r>
      <w:r w:rsidR="001A1A14">
        <w:t xml:space="preserve"> with the Vinton Monitoring Station</w:t>
      </w:r>
      <w:r w:rsidR="000F6732">
        <w:t>)</w:t>
      </w:r>
      <w:r w:rsidR="007504D0">
        <w:t xml:space="preserve"> and explained that</w:t>
      </w:r>
      <w:r w:rsidR="006017D2">
        <w:t xml:space="preserve"> </w:t>
      </w:r>
      <w:r w:rsidR="00742103">
        <w:t xml:space="preserve">although </w:t>
      </w:r>
      <w:r w:rsidR="007504D0">
        <w:t>it is the</w:t>
      </w:r>
      <w:r w:rsidR="00172DCA">
        <w:t xml:space="preserve"> next closest</w:t>
      </w:r>
      <w:r w:rsidR="00742103">
        <w:t xml:space="preserve"> </w:t>
      </w:r>
      <w:r w:rsidR="00F33725">
        <w:t xml:space="preserve">monitoring station, </w:t>
      </w:r>
      <w:r w:rsidR="007504D0">
        <w:t xml:space="preserve">the </w:t>
      </w:r>
      <w:r w:rsidR="00C218AB">
        <w:t xml:space="preserve">       </w:t>
      </w:r>
      <w:r w:rsidR="007504D0">
        <w:t xml:space="preserve">West Orange Monitoring Station </w:t>
      </w:r>
      <w:r w:rsidR="00172DCA">
        <w:t>does not</w:t>
      </w:r>
      <w:r w:rsidR="00742103">
        <w:t xml:space="preserve"> accurately represent background ambient </w:t>
      </w:r>
      <w:r w:rsidR="006B6867">
        <w:t>air quality because it is further away and located in a more developed area</w:t>
      </w:r>
      <w:r w:rsidR="00F33725">
        <w:t xml:space="preserve"> with large residential areas and small industrial facilities.</w:t>
      </w:r>
      <w:r w:rsidR="00F33725">
        <w:rPr>
          <w:rStyle w:val="FootnoteReference"/>
        </w:rPr>
        <w:footnoteReference w:id="174"/>
      </w:r>
      <w:r w:rsidR="00F33725">
        <w:t xml:space="preserve">  </w:t>
      </w:r>
      <w:r w:rsidR="0019439E">
        <w:t>Accordingly, Venture Global explains that</w:t>
      </w:r>
      <w:r w:rsidR="007D2A86">
        <w:t xml:space="preserve"> the </w:t>
      </w:r>
      <w:r w:rsidR="00FC27C3">
        <w:t xml:space="preserve">data from the </w:t>
      </w:r>
      <w:r w:rsidR="007D2A86">
        <w:t xml:space="preserve">Vinton Monitoring Station </w:t>
      </w:r>
      <w:r w:rsidR="00FC27C3">
        <w:t xml:space="preserve">most </w:t>
      </w:r>
      <w:r w:rsidR="00F20B58">
        <w:t>accurately</w:t>
      </w:r>
      <w:r w:rsidR="00FC27C3">
        <w:t xml:space="preserve"> represents background concentrations </w:t>
      </w:r>
      <w:r w:rsidR="002F7779">
        <w:t xml:space="preserve">of air quality </w:t>
      </w:r>
      <w:r w:rsidR="00FC27C3">
        <w:t>consistent with EPA’s criteria.</w:t>
      </w:r>
      <w:r w:rsidR="00FC27C3">
        <w:rPr>
          <w:rStyle w:val="FootnoteReference"/>
        </w:rPr>
        <w:footnoteReference w:id="175"/>
      </w:r>
    </w:p>
    <w:p w14:paraId="1877D196" w14:textId="77777777" w:rsidR="00974A18" w:rsidRDefault="00624485" w:rsidP="00974A18">
      <w:pPr>
        <w:pStyle w:val="FERCparanumber"/>
      </w:pPr>
      <w:r>
        <w:t>Based on the foregoing, w</w:t>
      </w:r>
      <w:r w:rsidR="00974A18" w:rsidRPr="001276F4">
        <w:t xml:space="preserve">e agree that the Vinton </w:t>
      </w:r>
      <w:r w:rsidR="00F33725">
        <w:t>Monitoring Station</w:t>
      </w:r>
      <w:r w:rsidR="00974A18" w:rsidRPr="001276F4">
        <w:t xml:space="preserve"> is more </w:t>
      </w:r>
      <w:r w:rsidR="002F7779">
        <w:t xml:space="preserve">representative of background concentrations </w:t>
      </w:r>
      <w:r w:rsidR="009C0E8E">
        <w:t xml:space="preserve">of air quality and more </w:t>
      </w:r>
      <w:r w:rsidR="00974A18" w:rsidRPr="001276F4">
        <w:t>indicative of PM</w:t>
      </w:r>
      <w:r w:rsidR="00974A18" w:rsidRPr="001276F4">
        <w:rPr>
          <w:vertAlign w:val="subscript"/>
        </w:rPr>
        <w:t>2.5</w:t>
      </w:r>
      <w:r w:rsidR="00974A18" w:rsidRPr="001276F4">
        <w:t xml:space="preserve"> in the project area based on proximity, population density, and air emissions profile.  Therefore, </w:t>
      </w:r>
      <w:r w:rsidR="004F1874">
        <w:t>we agree with Venture Global’s selection and use of the Vinton Monitoring Station</w:t>
      </w:r>
      <w:r w:rsidR="00974A18" w:rsidRPr="001276F4">
        <w:t>.</w:t>
      </w:r>
      <w:r w:rsidR="00974A18" w:rsidRPr="001276F4">
        <w:rPr>
          <w:b/>
          <w:vertAlign w:val="superscript"/>
        </w:rPr>
        <w:footnoteReference w:id="176"/>
      </w:r>
    </w:p>
    <w:p w14:paraId="47B0138D" w14:textId="77777777" w:rsidR="001276F4" w:rsidRPr="001276F4" w:rsidRDefault="001276F4" w:rsidP="001276F4">
      <w:pPr>
        <w:pStyle w:val="Heading3"/>
      </w:pPr>
      <w:r w:rsidRPr="001276F4">
        <w:t>NO</w:t>
      </w:r>
      <w:r w:rsidRPr="001276F4">
        <w:rPr>
          <w:vertAlign w:val="subscript"/>
        </w:rPr>
        <w:t>2</w:t>
      </w:r>
      <w:r w:rsidRPr="001276F4">
        <w:t xml:space="preserve"> and PM</w:t>
      </w:r>
      <w:r w:rsidRPr="001276F4">
        <w:rPr>
          <w:vertAlign w:val="subscript"/>
        </w:rPr>
        <w:t>2.5</w:t>
      </w:r>
      <w:r w:rsidRPr="001276F4">
        <w:t xml:space="preserve"> </w:t>
      </w:r>
      <w:r w:rsidR="00DB650C">
        <w:t>Cumulative Impacts</w:t>
      </w:r>
      <w:r w:rsidR="009D1C72">
        <w:t xml:space="preserve"> </w:t>
      </w:r>
    </w:p>
    <w:p w14:paraId="48EADA92" w14:textId="77777777" w:rsidR="001276F4" w:rsidRDefault="001276F4" w:rsidP="001276F4">
      <w:pPr>
        <w:pStyle w:val="FERCparanumber"/>
      </w:pPr>
      <w:r w:rsidRPr="001276F4">
        <w:t xml:space="preserve">Citing to the D.C. Circuit’s holding in </w:t>
      </w:r>
      <w:r w:rsidRPr="001276F4">
        <w:rPr>
          <w:i/>
        </w:rPr>
        <w:t>Healthy Gulf</w:t>
      </w:r>
      <w:r w:rsidRPr="001276F4">
        <w:t xml:space="preserve">, Petitioners assert that the Commission failed to take a hard look at cumulative air quality impacts by improperly concluding that because the Projects’ modeled contribution at each NAAQS exceedance </w:t>
      </w:r>
      <w:r w:rsidRPr="001276F4">
        <w:lastRenderedPageBreak/>
        <w:t>is below the SIL for both PM</w:t>
      </w:r>
      <w:r w:rsidRPr="001276F4">
        <w:rPr>
          <w:vertAlign w:val="subscript"/>
        </w:rPr>
        <w:t>2.5</w:t>
      </w:r>
      <w:r w:rsidRPr="001276F4">
        <w:t xml:space="preserve"> and NO</w:t>
      </w:r>
      <w:r w:rsidRPr="001276F4">
        <w:rPr>
          <w:vertAlign w:val="subscript"/>
        </w:rPr>
        <w:t>2</w:t>
      </w:r>
      <w:r w:rsidRPr="001276F4">
        <w:t>, the Projects’ predicted impacts would not cause or contribute to the exceedance for either pollutant and, therefore, would be an environmentally acceptable action.</w:t>
      </w:r>
      <w:r w:rsidRPr="001276F4">
        <w:rPr>
          <w:b/>
          <w:vertAlign w:val="superscript"/>
        </w:rPr>
        <w:footnoteReference w:id="177"/>
      </w:r>
      <w:r w:rsidRPr="001276F4">
        <w:t xml:space="preserve">  Petitioners maintain that, although the Projects’ contributions to modeled exceedances falls below the SILs, they are not facially insignificant and are more than de minimis contributors to cumulative impacts and will contribute to unhealthy air quality in </w:t>
      </w:r>
      <w:r w:rsidR="00ED12D1">
        <w:t xml:space="preserve">the surrounding </w:t>
      </w:r>
      <w:r w:rsidRPr="001276F4">
        <w:t>communities.</w:t>
      </w:r>
      <w:r w:rsidRPr="001276F4">
        <w:rPr>
          <w:b/>
          <w:vertAlign w:val="superscript"/>
        </w:rPr>
        <w:footnoteReference w:id="178"/>
      </w:r>
      <w:r w:rsidRPr="001276F4">
        <w:t xml:space="preserve">  In short, Petitioners disagree with the conclusion that, where modeling predicted an exceedance of a NAAQS threshold, that the exceedance would have occurred even in the absence of the project.  Petitioners </w:t>
      </w:r>
      <w:r w:rsidR="00637F56">
        <w:t>also</w:t>
      </w:r>
      <w:r w:rsidRPr="001276F4">
        <w:t xml:space="preserve"> aver that the Commission’s failure to take a hard look at air impacts and label them as “significant”</w:t>
      </w:r>
      <w:r w:rsidR="00223ED4">
        <w:t xml:space="preserve"> </w:t>
      </w:r>
      <w:r w:rsidRPr="001276F4">
        <w:t>affected its analysis of alternatives and mitigation, undermining the Commission’s public interest determination.</w:t>
      </w:r>
      <w:r w:rsidRPr="001276F4">
        <w:rPr>
          <w:b/>
          <w:vertAlign w:val="superscript"/>
        </w:rPr>
        <w:footnoteReference w:id="179"/>
      </w:r>
      <w:r w:rsidRPr="001276F4">
        <w:t xml:space="preserve"> </w:t>
      </w:r>
    </w:p>
    <w:p w14:paraId="74CFDE6A" w14:textId="77777777" w:rsidR="00230D74" w:rsidRPr="001276F4" w:rsidRDefault="00230D74" w:rsidP="001276F4">
      <w:pPr>
        <w:pStyle w:val="FERCparanumber"/>
      </w:pPr>
      <w:r w:rsidRPr="001276F4">
        <w:t xml:space="preserve">Petitioners </w:t>
      </w:r>
      <w:r w:rsidR="00637F56">
        <w:t>further</w:t>
      </w:r>
      <w:r>
        <w:t xml:space="preserve"> </w:t>
      </w:r>
      <w:r w:rsidRPr="001276F4">
        <w:t>assert that the Commission failed to acknowledge that air quality will exceed the PM</w:t>
      </w:r>
      <w:r w:rsidRPr="001276F4">
        <w:rPr>
          <w:vertAlign w:val="subscript"/>
        </w:rPr>
        <w:t>2.5</w:t>
      </w:r>
      <w:r w:rsidRPr="001276F4">
        <w:t xml:space="preserve"> 24-hour </w:t>
      </w:r>
      <w:r>
        <w:t xml:space="preserve">PSD </w:t>
      </w:r>
      <w:r w:rsidRPr="001276F4">
        <w:t>increment</w:t>
      </w:r>
      <w:r>
        <w:t xml:space="preserve"> </w:t>
      </w:r>
      <w:r w:rsidR="00040953">
        <w:t xml:space="preserve">at </w:t>
      </w:r>
      <w:r>
        <w:t>the Moss Lake Compressor Station</w:t>
      </w:r>
      <w:r w:rsidRPr="001276F4">
        <w:t>,</w:t>
      </w:r>
      <w:r w:rsidRPr="001276F4">
        <w:rPr>
          <w:b/>
          <w:vertAlign w:val="superscript"/>
        </w:rPr>
        <w:footnoteReference w:id="180"/>
      </w:r>
      <w:r w:rsidRPr="001276F4">
        <w:t xml:space="preserve"> despite </w:t>
      </w:r>
      <w:r w:rsidR="00BE693D">
        <w:t>concluding that the Projects complied with</w:t>
      </w:r>
      <w:r w:rsidRPr="001276F4">
        <w:t xml:space="preserve"> applicable NAAQS and Class II PSD Increments for pollutants subject to PSD review.</w:t>
      </w:r>
      <w:r w:rsidRPr="001276F4">
        <w:rPr>
          <w:b/>
          <w:vertAlign w:val="superscript"/>
        </w:rPr>
        <w:footnoteReference w:id="181"/>
      </w:r>
      <w:r w:rsidRPr="001276F4">
        <w:t xml:space="preserve">  Petitioners maintain that any argument by the Commission that the </w:t>
      </w:r>
      <w:r>
        <w:t>Moss Lake Compressor Station’s</w:t>
      </w:r>
      <w:r w:rsidRPr="001276F4">
        <w:t xml:space="preserve"> contribution was so minor to render the impact insignificant is flawed by the Commission’s improper use of SILs and failure to adequately consider cumulative impacts.</w:t>
      </w:r>
      <w:r w:rsidRPr="001276F4">
        <w:rPr>
          <w:b/>
          <w:vertAlign w:val="superscript"/>
        </w:rPr>
        <w:footnoteReference w:id="182"/>
      </w:r>
      <w:r w:rsidRPr="001276F4">
        <w:t xml:space="preserve">  Accordingly, Petitioners argue that the Commission’s failure to address the PSD increment </w:t>
      </w:r>
      <w:r w:rsidR="006E5B25">
        <w:t>exceedance</w:t>
      </w:r>
      <w:r w:rsidR="006E5B25" w:rsidRPr="001276F4">
        <w:t xml:space="preserve"> </w:t>
      </w:r>
      <w:r w:rsidRPr="001276F4">
        <w:t>violates NEPA.</w:t>
      </w:r>
      <w:r w:rsidRPr="001276F4">
        <w:rPr>
          <w:b/>
          <w:vertAlign w:val="superscript"/>
        </w:rPr>
        <w:footnoteReference w:id="183"/>
      </w:r>
    </w:p>
    <w:p w14:paraId="65947E5E" w14:textId="77777777" w:rsidR="004605CA" w:rsidRDefault="001276F4" w:rsidP="008E4EA3">
      <w:pPr>
        <w:pStyle w:val="FERCparanumber"/>
      </w:pPr>
      <w:bookmarkStart w:id="2" w:name="_Hlk182469037"/>
      <w:r w:rsidRPr="001276F4">
        <w:lastRenderedPageBreak/>
        <w:t>We rely on EPA as the air quality authority with the expertise to establish air quality thresholds/limits to protect public health required by the CAA.</w:t>
      </w:r>
      <w:r w:rsidRPr="001276F4">
        <w:rPr>
          <w:b/>
          <w:vertAlign w:val="superscript"/>
        </w:rPr>
        <w:footnoteReference w:id="184"/>
      </w:r>
      <w:r w:rsidRPr="001276F4">
        <w:t xml:space="preserve">  </w:t>
      </w:r>
      <w:bookmarkEnd w:id="2"/>
      <w:r w:rsidR="00371A68" w:rsidRPr="00371A68">
        <w:t>The Commission uses NAAQS as a tool to assess air quality impacts on the quality of the human environment pursuant to NEPA.  PSD increments are not a metric to measure impacts on human health.</w:t>
      </w:r>
      <w:r w:rsidR="00061B0D">
        <w:rPr>
          <w:rStyle w:val="FootnoteReference"/>
        </w:rPr>
        <w:footnoteReference w:id="185"/>
      </w:r>
      <w:r w:rsidR="00061B0D" w:rsidRPr="00371A68">
        <w:t xml:space="preserve"> </w:t>
      </w:r>
      <w:r w:rsidR="00371A68" w:rsidRPr="00371A68">
        <w:t xml:space="preserve"> </w:t>
      </w:r>
      <w:r w:rsidRPr="001276F4">
        <w:t>Pursuant to the PSD program, states must review potential new sources of pollution to ensure “that the air quality in attainment areas or areas that are already clean will not degrade”</w:t>
      </w:r>
      <w:r w:rsidRPr="001276F4">
        <w:rPr>
          <w:b/>
          <w:vertAlign w:val="superscript"/>
        </w:rPr>
        <w:footnoteReference w:id="186"/>
      </w:r>
      <w:r w:rsidRPr="001276F4">
        <w:t xml:space="preserve"> by confirming that the source will not “cause or contribute” to a violation of any applicable NAAQS.</w:t>
      </w:r>
      <w:r w:rsidRPr="001276F4">
        <w:rPr>
          <w:b/>
          <w:bCs/>
          <w:vertAlign w:val="superscript"/>
        </w:rPr>
        <w:footnoteReference w:id="187"/>
      </w:r>
      <w:r w:rsidRPr="001276F4">
        <w:t xml:space="preserve">  </w:t>
      </w:r>
      <w:r w:rsidR="004259F2">
        <w:t>PSD</w:t>
      </w:r>
      <w:r w:rsidR="007F528F" w:rsidRPr="007F528F">
        <w:t xml:space="preserve"> permitting applies to new major sources or major modifications at existing sources in attainment areas or in areas that are unclassifiable.</w:t>
      </w:r>
      <w:r w:rsidR="007F528F">
        <w:rPr>
          <w:rStyle w:val="FootnoteReference"/>
        </w:rPr>
        <w:footnoteReference w:id="188"/>
      </w:r>
      <w:r w:rsidR="007F528F" w:rsidRPr="007F528F">
        <w:t xml:space="preserve"> </w:t>
      </w:r>
      <w:r w:rsidR="007F528F">
        <w:t xml:space="preserve"> </w:t>
      </w:r>
      <w:r w:rsidR="007F528F" w:rsidRPr="007F528F">
        <w:t>PSD</w:t>
      </w:r>
      <w:r w:rsidR="0017252B">
        <w:t xml:space="preserve"> permitting</w:t>
      </w:r>
      <w:r w:rsidR="007F528F" w:rsidRPr="007F528F">
        <w:t xml:space="preserve"> is intended to prevent new air emission sources from causing the existing air quality to deteriorate beyond acceptable levels.</w:t>
      </w:r>
      <w:r w:rsidR="007F528F">
        <w:rPr>
          <w:rStyle w:val="FootnoteReference"/>
        </w:rPr>
        <w:footnoteReference w:id="189"/>
      </w:r>
      <w:r w:rsidR="007F528F" w:rsidRPr="007F528F">
        <w:t xml:space="preserve"> </w:t>
      </w:r>
      <w:r w:rsidR="007F528F">
        <w:t xml:space="preserve"> </w:t>
      </w:r>
      <w:r w:rsidR="007F528F" w:rsidRPr="007F528F">
        <w:t>Under</w:t>
      </w:r>
      <w:r w:rsidR="00384F43">
        <w:t xml:space="preserve"> the</w:t>
      </w:r>
      <w:r w:rsidR="007F528F" w:rsidRPr="007F528F">
        <w:t xml:space="preserve"> </w:t>
      </w:r>
      <w:r w:rsidR="007F528F" w:rsidRPr="007F528F">
        <w:lastRenderedPageBreak/>
        <w:t>PSD</w:t>
      </w:r>
      <w:r w:rsidR="00384F43">
        <w:t xml:space="preserve"> program</w:t>
      </w:r>
      <w:r w:rsidR="007F528F" w:rsidRPr="007F528F">
        <w:t>, any new major source or major modification of an existing source of air pollutants is required to obtain an air quality permit before beginning construction.</w:t>
      </w:r>
      <w:r w:rsidR="007F528F">
        <w:rPr>
          <w:rStyle w:val="FootnoteReference"/>
        </w:rPr>
        <w:footnoteReference w:id="190"/>
      </w:r>
      <w:r w:rsidR="00CB4F8B">
        <w:t xml:space="preserve">  </w:t>
      </w:r>
    </w:p>
    <w:p w14:paraId="0CC0D1B7" w14:textId="77777777" w:rsidR="00D204B9" w:rsidRDefault="001276F4" w:rsidP="008E4EA3">
      <w:pPr>
        <w:pStyle w:val="FERCparanumber"/>
      </w:pPr>
      <w:r w:rsidRPr="001276F4">
        <w:t xml:space="preserve">Both </w:t>
      </w:r>
      <w:r w:rsidR="008E4EA3">
        <w:t>Pr</w:t>
      </w:r>
      <w:r w:rsidRPr="001276F4">
        <w:t xml:space="preserve">ojects are in attainment areas, as determined by EPA, for all criteria pollutants, and thus are subject to the CAA PSD permitting program. </w:t>
      </w:r>
      <w:r w:rsidR="00CB4F8B">
        <w:t xml:space="preserve"> As explained above, and consistent with EPA guidance and the PSD permitting process, the Commission engages in a three-step </w:t>
      </w:r>
      <w:r w:rsidR="00C77C6E">
        <w:t xml:space="preserve">analysis </w:t>
      </w:r>
      <w:r w:rsidR="00CB4F8B">
        <w:t xml:space="preserve">that includes a </w:t>
      </w:r>
      <w:r w:rsidR="00FF3947">
        <w:t>preliminary screening step</w:t>
      </w:r>
      <w:r w:rsidR="00CB4F8B">
        <w:t xml:space="preserve"> using SILs, a cumulative impact analys</w:t>
      </w:r>
      <w:r w:rsidR="008E1374">
        <w:t>i</w:t>
      </w:r>
      <w:r w:rsidR="00CB4F8B">
        <w:t>s, and a cause and contribute analysis.</w:t>
      </w:r>
      <w:r w:rsidR="00CB4F8B">
        <w:rPr>
          <w:rStyle w:val="FootnoteReference"/>
        </w:rPr>
        <w:footnoteReference w:id="191"/>
      </w:r>
      <w:r w:rsidR="00CB4F8B">
        <w:t xml:space="preserve"> </w:t>
      </w:r>
      <w:r w:rsidRPr="001276F4">
        <w:t xml:space="preserve"> </w:t>
      </w:r>
      <w:r w:rsidR="002555F5">
        <w:t xml:space="preserve">EPA </w:t>
      </w:r>
      <w:r w:rsidR="00597234" w:rsidRPr="00597234">
        <w:t xml:space="preserve">delegated </w:t>
      </w:r>
      <w:r w:rsidR="002555F5">
        <w:t xml:space="preserve">authority to </w:t>
      </w:r>
      <w:r w:rsidR="00597234" w:rsidRPr="00597234">
        <w:t xml:space="preserve">the </w:t>
      </w:r>
      <w:r w:rsidR="004259F2">
        <w:t>L</w:t>
      </w:r>
      <w:r w:rsidR="00597234" w:rsidRPr="00597234">
        <w:t>DEQ to implement federal air quality programs</w:t>
      </w:r>
      <w:r w:rsidR="005E12DF">
        <w:t xml:space="preserve"> in Lo</w:t>
      </w:r>
      <w:r w:rsidR="00BE4F58">
        <w:t>uisiana</w:t>
      </w:r>
      <w:r w:rsidR="00597234" w:rsidRPr="00597234">
        <w:t>.</w:t>
      </w:r>
      <w:r w:rsidR="00597234">
        <w:rPr>
          <w:rStyle w:val="FootnoteReference"/>
        </w:rPr>
        <w:footnoteReference w:id="192"/>
      </w:r>
      <w:r w:rsidR="00C77C6E">
        <w:t xml:space="preserve">  Accordingly, we appropriately </w:t>
      </w:r>
      <w:r w:rsidR="00592A75">
        <w:t>rely on</w:t>
      </w:r>
      <w:r w:rsidR="008162EF">
        <w:t xml:space="preserve"> the EPA’s and LDEQ’s guidelines </w:t>
      </w:r>
      <w:r w:rsidR="00891C60">
        <w:t>in assessing compliance with the PSD permitting program.</w:t>
      </w:r>
      <w:r w:rsidR="00912730">
        <w:rPr>
          <w:rStyle w:val="FootnoteReference"/>
        </w:rPr>
        <w:footnoteReference w:id="193"/>
      </w:r>
      <w:r w:rsidR="00891C60">
        <w:t xml:space="preserve">  </w:t>
      </w:r>
    </w:p>
    <w:p w14:paraId="5C3A0CBB" w14:textId="77777777" w:rsidR="00A357A6" w:rsidRDefault="00D204B9" w:rsidP="00167414">
      <w:pPr>
        <w:pStyle w:val="Heading4"/>
      </w:pPr>
      <w:r>
        <w:t>Moss Lake Compressor Station</w:t>
      </w:r>
    </w:p>
    <w:p w14:paraId="3A074510" w14:textId="77777777" w:rsidR="00D204B9" w:rsidRDefault="00682923" w:rsidP="004421BA">
      <w:pPr>
        <w:pStyle w:val="FERCparanumber"/>
      </w:pPr>
      <w:r>
        <w:t xml:space="preserve">On December 23, 2024, Venture Global submitted updated air modeling in response to Commission staff’s </w:t>
      </w:r>
      <w:r w:rsidR="00CB4F8B">
        <w:t>December 10, 2024 data request</w:t>
      </w:r>
      <w:r w:rsidR="00222558">
        <w:t xml:space="preserve">.  </w:t>
      </w:r>
      <w:r w:rsidR="00C02F60">
        <w:t xml:space="preserve">As explained in the final supplemental EIS, </w:t>
      </w:r>
      <w:r w:rsidR="00025747">
        <w:t>b</w:t>
      </w:r>
      <w:r w:rsidR="007A3C5C">
        <w:t>ecause t</w:t>
      </w:r>
      <w:r w:rsidR="009D1C72">
        <w:t xml:space="preserve">he updated </w:t>
      </w:r>
      <w:r w:rsidR="007A3C5C">
        <w:t>modeled concentration results</w:t>
      </w:r>
      <w:r w:rsidR="0017667E">
        <w:t xml:space="preserve"> </w:t>
      </w:r>
      <w:r w:rsidR="00932BD0">
        <w:t xml:space="preserve">at </w:t>
      </w:r>
      <w:r w:rsidR="00317519">
        <w:t xml:space="preserve">the </w:t>
      </w:r>
      <w:r w:rsidR="005A77D9">
        <w:t xml:space="preserve">               </w:t>
      </w:r>
      <w:r w:rsidR="00317519">
        <w:t>Moss Lake Compressor Station</w:t>
      </w:r>
      <w:r w:rsidR="007A3C5C" w:rsidRPr="007A3C5C">
        <w:t xml:space="preserve"> </w:t>
      </w:r>
      <w:r w:rsidR="00371A68">
        <w:t xml:space="preserve">fall </w:t>
      </w:r>
      <w:r w:rsidR="007A3C5C" w:rsidRPr="007A3C5C">
        <w:t>below the SILs</w:t>
      </w:r>
      <w:r w:rsidR="006A371B">
        <w:t xml:space="preserve"> for all criteria pollutants</w:t>
      </w:r>
      <w:r w:rsidR="007A3C5C" w:rsidRPr="007A3C5C">
        <w:t xml:space="preserve">, </w:t>
      </w:r>
      <w:r w:rsidR="00363A8E">
        <w:t>a</w:t>
      </w:r>
      <w:r w:rsidR="007A3C5C" w:rsidRPr="007A3C5C">
        <w:t xml:space="preserve"> </w:t>
      </w:r>
      <w:r w:rsidR="00CB4F8B">
        <w:t xml:space="preserve">cumulative impacts </w:t>
      </w:r>
      <w:r w:rsidR="007A3C5C" w:rsidRPr="007A3C5C">
        <w:t>analysis</w:t>
      </w:r>
      <w:r w:rsidR="00CB4F8B">
        <w:t xml:space="preserve"> (</w:t>
      </w:r>
      <w:r w:rsidR="00FA3E1F">
        <w:t>i.e., second step)</w:t>
      </w:r>
      <w:r w:rsidR="007A3C5C" w:rsidRPr="007A3C5C">
        <w:t xml:space="preserve"> is not required </w:t>
      </w:r>
      <w:r w:rsidR="005B6E8F">
        <w:t>according to</w:t>
      </w:r>
      <w:r w:rsidR="005B6E8F" w:rsidRPr="007A3C5C">
        <w:t xml:space="preserve"> </w:t>
      </w:r>
      <w:r w:rsidR="007A3C5C" w:rsidRPr="007A3C5C">
        <w:t>CAA modeling regulation and guidance</w:t>
      </w:r>
      <w:r w:rsidR="007A3C5C">
        <w:t>.</w:t>
      </w:r>
      <w:r w:rsidR="007A3C5C">
        <w:rPr>
          <w:rStyle w:val="FootnoteReference"/>
        </w:rPr>
        <w:footnoteReference w:id="194"/>
      </w:r>
      <w:r w:rsidR="007A3C5C">
        <w:t xml:space="preserve">  </w:t>
      </w:r>
      <w:r w:rsidR="005B6E8F">
        <w:t>Therefore</w:t>
      </w:r>
      <w:r w:rsidR="007A3C5C">
        <w:t xml:space="preserve">, </w:t>
      </w:r>
      <w:r w:rsidR="004F63D8">
        <w:t>the Moss Lake Compressor Station will not cause or contribute to any significant cumulative air quality impacts</w:t>
      </w:r>
      <w:r w:rsidR="003C4456">
        <w:t xml:space="preserve"> for NO</w:t>
      </w:r>
      <w:r w:rsidR="003C4456" w:rsidRPr="003C4456">
        <w:rPr>
          <w:vertAlign w:val="subscript"/>
        </w:rPr>
        <w:t>2</w:t>
      </w:r>
      <w:r w:rsidR="003C4456">
        <w:t xml:space="preserve"> and PM</w:t>
      </w:r>
      <w:r w:rsidR="003C4456" w:rsidRPr="003C4456">
        <w:rPr>
          <w:vertAlign w:val="subscript"/>
        </w:rPr>
        <w:t>2.5</w:t>
      </w:r>
      <w:r w:rsidR="00FA07F9">
        <w:t xml:space="preserve"> and are appropriately classified as statistically insignificant</w:t>
      </w:r>
      <w:r w:rsidR="003C4456">
        <w:t>.</w:t>
      </w:r>
      <w:r w:rsidR="003C4456">
        <w:rPr>
          <w:rStyle w:val="FootnoteReference"/>
        </w:rPr>
        <w:footnoteReference w:id="195"/>
      </w:r>
      <w:r w:rsidR="003C4456">
        <w:t xml:space="preserve">  </w:t>
      </w:r>
      <w:r w:rsidR="004421BA">
        <w:t>In addition, because t</w:t>
      </w:r>
      <w:r w:rsidR="00D204B9">
        <w:t>he</w:t>
      </w:r>
      <w:r w:rsidR="008478D9">
        <w:t xml:space="preserve"> updated</w:t>
      </w:r>
      <w:r w:rsidR="00D204B9">
        <w:t xml:space="preserve"> air modeling used in the final supplemental EIS determined that the modeled concentration results for the Moss Lake Compressor Station are below the SILs, </w:t>
      </w:r>
      <w:r w:rsidR="0738D402">
        <w:t xml:space="preserve">it </w:t>
      </w:r>
      <w:r w:rsidR="37465D50">
        <w:t>is not necessary</w:t>
      </w:r>
      <w:r w:rsidR="0738D402">
        <w:t xml:space="preserve"> to analyze </w:t>
      </w:r>
      <w:r w:rsidR="653E736F">
        <w:t>whether the</w:t>
      </w:r>
      <w:r w:rsidR="01146ACB">
        <w:t xml:space="preserve"> PSD increment </w:t>
      </w:r>
      <w:r w:rsidR="1AA7069E">
        <w:t>will</w:t>
      </w:r>
      <w:r w:rsidR="1C45971F">
        <w:t xml:space="preserve"> be exceeded</w:t>
      </w:r>
      <w:r w:rsidR="37465D50">
        <w:t>.</w:t>
      </w:r>
      <w:r w:rsidR="00863104">
        <w:rPr>
          <w:rStyle w:val="FootnoteReference"/>
        </w:rPr>
        <w:footnoteReference w:id="196"/>
      </w:r>
      <w:r w:rsidR="37465D50">
        <w:t xml:space="preserve">  </w:t>
      </w:r>
    </w:p>
    <w:p w14:paraId="43F15C91" w14:textId="77777777" w:rsidR="00682923" w:rsidRDefault="00FA07F9" w:rsidP="008E4EA3">
      <w:pPr>
        <w:pStyle w:val="FERCparanumber"/>
      </w:pPr>
      <w:r>
        <w:lastRenderedPageBreak/>
        <w:t xml:space="preserve">Nevertheless, Commission staff </w:t>
      </w:r>
      <w:r w:rsidR="00764D0E">
        <w:t xml:space="preserve">also </w:t>
      </w:r>
      <w:r w:rsidR="000C561F" w:rsidRPr="000C561F">
        <w:t xml:space="preserve">looked </w:t>
      </w:r>
      <w:r w:rsidR="005B6E8F">
        <w:t xml:space="preserve">qualitatively </w:t>
      </w:r>
      <w:r w:rsidR="000C561F" w:rsidRPr="000C561F">
        <w:t>at facilities in the vicinity of the Moss Lake Compressor Station</w:t>
      </w:r>
      <w:r w:rsidR="000C561F">
        <w:t xml:space="preserve"> and determined that </w:t>
      </w:r>
      <w:r w:rsidR="00B630A8" w:rsidRPr="00B630A8">
        <w:t>cumulative impacts from 1-hour NO</w:t>
      </w:r>
      <w:r w:rsidR="00B630A8" w:rsidRPr="00B630A8">
        <w:rPr>
          <w:vertAlign w:val="subscript"/>
        </w:rPr>
        <w:t>2</w:t>
      </w:r>
      <w:r w:rsidR="00B630A8" w:rsidRPr="00B630A8">
        <w:t xml:space="preserve"> and annual PM</w:t>
      </w:r>
      <w:r w:rsidR="00B630A8" w:rsidRPr="00B630A8">
        <w:rPr>
          <w:vertAlign w:val="subscript"/>
        </w:rPr>
        <w:t>2.5</w:t>
      </w:r>
      <w:r w:rsidR="00B630A8" w:rsidRPr="00B630A8">
        <w:t xml:space="preserve"> are not significant</w:t>
      </w:r>
      <w:r w:rsidR="00B630A8">
        <w:t xml:space="preserve"> </w:t>
      </w:r>
      <w:r w:rsidR="000C561F">
        <w:t>based on</w:t>
      </w:r>
      <w:r w:rsidR="005A77D9">
        <w:t xml:space="preserve">:  </w:t>
      </w:r>
      <w:r w:rsidR="00B630A8">
        <w:t>(1)</w:t>
      </w:r>
      <w:r w:rsidR="000C561F">
        <w:t xml:space="preserve"> </w:t>
      </w:r>
      <w:r w:rsidR="00B630A8">
        <w:t>t</w:t>
      </w:r>
      <w:r w:rsidR="00B630A8" w:rsidRPr="00B630A8">
        <w:t>he magnitude of emissions and the distance between the Moss Lake Compressor Station and these facilities</w:t>
      </w:r>
      <w:r w:rsidR="00B630A8">
        <w:t>, (2)</w:t>
      </w:r>
      <w:r w:rsidR="00B630A8" w:rsidRPr="00B630A8">
        <w:t xml:space="preserve"> the CAA permitting programs ensuring that these individual facilities would not cause or contribute to any exceedances of the NAAQS</w:t>
      </w:r>
      <w:r w:rsidR="00B630A8">
        <w:t>, (3)</w:t>
      </w:r>
      <w:r w:rsidR="00B630A8" w:rsidRPr="00B630A8">
        <w:t xml:space="preserve"> local monitors showing ambient levels well within the NAAQS</w:t>
      </w:r>
      <w:r w:rsidR="00B630A8">
        <w:t xml:space="preserve">, </w:t>
      </w:r>
      <w:r w:rsidR="00EC11D9">
        <w:t xml:space="preserve">and </w:t>
      </w:r>
      <w:r w:rsidR="00B630A8">
        <w:t>(4)</w:t>
      </w:r>
      <w:r w:rsidR="00B630A8" w:rsidRPr="00B630A8">
        <w:t xml:space="preserve"> magnitude of impacts from the Moss Lake Compressor Station being below the SILs</w:t>
      </w:r>
      <w:r w:rsidR="00B630A8">
        <w:t>.</w:t>
      </w:r>
      <w:r w:rsidR="00B630A8">
        <w:rPr>
          <w:rStyle w:val="FootnoteReference"/>
        </w:rPr>
        <w:footnoteReference w:id="197"/>
      </w:r>
    </w:p>
    <w:p w14:paraId="1D78F3C8" w14:textId="77777777" w:rsidR="00E62987" w:rsidRDefault="00E62987" w:rsidP="008E4EA3">
      <w:pPr>
        <w:pStyle w:val="FERCparanumber"/>
      </w:pPr>
      <w:r>
        <w:t>The</w:t>
      </w:r>
      <w:r w:rsidR="00E275A1">
        <w:t xml:space="preserve"> updated</w:t>
      </w:r>
      <w:r>
        <w:t xml:space="preserve"> air modeling analyses </w:t>
      </w:r>
      <w:r w:rsidR="00303AA8">
        <w:t xml:space="preserve">for the Moss Lake Compressor Station </w:t>
      </w:r>
      <w:r>
        <w:t xml:space="preserve">conducted by Venture Global (and verified by the Commission) did not require an analysis beyond the first step (i.e., </w:t>
      </w:r>
      <w:r w:rsidR="009552F7">
        <w:t>preliminary screening step</w:t>
      </w:r>
      <w:r>
        <w:t xml:space="preserve">).  Because Petitioners’ assertions and the D.C. Circuit’s decision in </w:t>
      </w:r>
      <w:r w:rsidRPr="004A0AB7">
        <w:rPr>
          <w:i/>
          <w:iCs/>
        </w:rPr>
        <w:t>Healthy Gulf</w:t>
      </w:r>
      <w:r>
        <w:t xml:space="preserve"> focused on the third step in this analysis (i.e., cause and contribute analysis), Petitioners’ arguments</w:t>
      </w:r>
      <w:r w:rsidR="0075299D">
        <w:t xml:space="preserve"> on rehearing of the Authorization Order</w:t>
      </w:r>
      <w:r>
        <w:t xml:space="preserve"> </w:t>
      </w:r>
      <w:r w:rsidR="009B35C9">
        <w:t xml:space="preserve">are </w:t>
      </w:r>
      <w:r w:rsidR="003B7FFE">
        <w:t>now moot</w:t>
      </w:r>
      <w:r>
        <w:t>.</w:t>
      </w:r>
      <w:r w:rsidR="00532B44">
        <w:rPr>
          <w:rStyle w:val="FootnoteReference"/>
        </w:rPr>
        <w:footnoteReference w:id="198"/>
      </w:r>
      <w:r w:rsidR="0035309A">
        <w:t xml:space="preserve">  W</w:t>
      </w:r>
      <w:r w:rsidR="0035309A" w:rsidRPr="0035309A">
        <w:t xml:space="preserve">e </w:t>
      </w:r>
      <w:r w:rsidR="00FD1994">
        <w:t xml:space="preserve">agree with </w:t>
      </w:r>
      <w:r w:rsidR="000523BE">
        <w:t xml:space="preserve">Commission </w:t>
      </w:r>
      <w:r w:rsidR="00FD1994">
        <w:t>staff’s ana</w:t>
      </w:r>
      <w:r w:rsidR="000523BE">
        <w:t>lysis that the revised air modeling</w:t>
      </w:r>
      <w:r w:rsidR="0035309A" w:rsidRPr="0035309A">
        <w:t xml:space="preserve"> demonstrates compliance with the NAAQS in the project area and </w:t>
      </w:r>
      <w:r w:rsidR="006D3C1F">
        <w:t xml:space="preserve">accordingly, based on this updated analysis, continue to find </w:t>
      </w:r>
      <w:r w:rsidR="0035309A" w:rsidRPr="0035309A">
        <w:t xml:space="preserve">that the </w:t>
      </w:r>
      <w:r w:rsidR="00995572">
        <w:t>Moss Lake Compressor Station</w:t>
      </w:r>
      <w:r w:rsidR="0035309A" w:rsidRPr="0035309A">
        <w:t xml:space="preserve"> will not significantly impact air quality</w:t>
      </w:r>
      <w:r w:rsidR="00995572">
        <w:t>.</w:t>
      </w:r>
      <w:r w:rsidR="007B0884">
        <w:rPr>
          <w:rStyle w:val="FootnoteReference"/>
        </w:rPr>
        <w:footnoteReference w:id="199"/>
      </w:r>
    </w:p>
    <w:p w14:paraId="442CEF9C" w14:textId="77777777" w:rsidR="00D204B9" w:rsidRDefault="00D204B9" w:rsidP="00167414">
      <w:pPr>
        <w:pStyle w:val="Heading4"/>
      </w:pPr>
      <w:r>
        <w:t>CP2 LNG Project</w:t>
      </w:r>
    </w:p>
    <w:p w14:paraId="0AF1171B" w14:textId="77777777" w:rsidR="004A0AB7" w:rsidRDefault="002B76E7" w:rsidP="00C378F5">
      <w:pPr>
        <w:pStyle w:val="FERCparanumber"/>
      </w:pPr>
      <w:r>
        <w:t>In the final supplemental EIS, Commission staff ana</w:t>
      </w:r>
      <w:r w:rsidR="00B23A1E">
        <w:t>lyzed t</w:t>
      </w:r>
      <w:r w:rsidR="007001C4">
        <w:t>he updated air model</w:t>
      </w:r>
      <w:r w:rsidR="005C2634">
        <w:t>ing for the CP2 LNG Project</w:t>
      </w:r>
      <w:r w:rsidR="00B23A1E">
        <w:t>,</w:t>
      </w:r>
      <w:r w:rsidR="005C2634">
        <w:t xml:space="preserve"> </w:t>
      </w:r>
      <w:r w:rsidR="005C2634" w:rsidRPr="005C2634">
        <w:t>includ</w:t>
      </w:r>
      <w:r w:rsidR="00B23A1E">
        <w:t>ing</w:t>
      </w:r>
      <w:r w:rsidR="005C2634" w:rsidRPr="005C2634">
        <w:t xml:space="preserve"> a </w:t>
      </w:r>
      <w:r w:rsidR="005C2634">
        <w:t>cumulative</w:t>
      </w:r>
      <w:r w:rsidR="00FA3E1F">
        <w:t xml:space="preserve"> impact</w:t>
      </w:r>
      <w:r w:rsidR="005C2634">
        <w:t xml:space="preserve"> analysis</w:t>
      </w:r>
      <w:r w:rsidR="005C2634" w:rsidRPr="005C2634">
        <w:t xml:space="preserve"> </w:t>
      </w:r>
      <w:r w:rsidR="00893AE8">
        <w:t xml:space="preserve">(i.e., second step) </w:t>
      </w:r>
      <w:r w:rsidR="005C2634" w:rsidRPr="005C2634">
        <w:t>for the following pollutants and respective averaging periods that exceeded the SILs: 1-hour CO; 1-hour and annual NO</w:t>
      </w:r>
      <w:r w:rsidR="005C2634" w:rsidRPr="005C2634">
        <w:rPr>
          <w:vertAlign w:val="subscript"/>
        </w:rPr>
        <w:t>2</w:t>
      </w:r>
      <w:r w:rsidR="005C2634" w:rsidRPr="005C2634">
        <w:t>; 1-hour, 3-hour, and 24-hour SO</w:t>
      </w:r>
      <w:r w:rsidR="005C2634" w:rsidRPr="005C2634">
        <w:rPr>
          <w:vertAlign w:val="subscript"/>
        </w:rPr>
        <w:t>2</w:t>
      </w:r>
      <w:r w:rsidR="00B55889">
        <w:t>;</w:t>
      </w:r>
      <w:r w:rsidR="005C2634" w:rsidRPr="005C2634">
        <w:t xml:space="preserve"> and 24-hour and annual PM</w:t>
      </w:r>
      <w:r w:rsidR="005C2634" w:rsidRPr="005C2634">
        <w:rPr>
          <w:vertAlign w:val="subscript"/>
        </w:rPr>
        <w:t>2.5</w:t>
      </w:r>
      <w:r w:rsidR="005C2634">
        <w:t>.</w:t>
      </w:r>
      <w:r w:rsidR="00893AE8">
        <w:rPr>
          <w:rStyle w:val="FootnoteReference"/>
        </w:rPr>
        <w:footnoteReference w:id="200"/>
      </w:r>
      <w:r w:rsidR="005C2634">
        <w:t xml:space="preserve">  </w:t>
      </w:r>
      <w:r w:rsidR="00C378F5" w:rsidRPr="00B27262">
        <w:t xml:space="preserve">Venture Global used the American Meteorological Society/Environmental Protection Agency Regulatory Model (AERMOD) dispersion model, in consultation with the </w:t>
      </w:r>
      <w:r w:rsidR="005B6E8F">
        <w:t>LD</w:t>
      </w:r>
      <w:r w:rsidR="00C378F5" w:rsidRPr="00B27262">
        <w:t xml:space="preserve">EQ and in accordance with EPA’s </w:t>
      </w:r>
      <w:r w:rsidR="00C378F5" w:rsidRPr="001670B4">
        <w:rPr>
          <w:i/>
          <w:iCs/>
        </w:rPr>
        <w:t xml:space="preserve">Guideline on Air </w:t>
      </w:r>
      <w:r w:rsidR="00C378F5" w:rsidRPr="001670B4">
        <w:rPr>
          <w:i/>
          <w:iCs/>
        </w:rPr>
        <w:lastRenderedPageBreak/>
        <w:t>Quality Models</w:t>
      </w:r>
      <w:r w:rsidR="00C378F5" w:rsidRPr="00B27262">
        <w:t>, 40 C.F.R. Part 51, Appendix W.</w:t>
      </w:r>
      <w:r w:rsidR="00C378F5">
        <w:rPr>
          <w:rStyle w:val="FootnoteReference"/>
        </w:rPr>
        <w:footnoteReference w:id="201"/>
      </w:r>
      <w:r w:rsidR="00C378F5">
        <w:t xml:space="preserve">  </w:t>
      </w:r>
      <w:r w:rsidR="00893AE8" w:rsidRPr="00893AE8">
        <w:t xml:space="preserve">The emission inventory included the emission sources at the CP2 LNG </w:t>
      </w:r>
      <w:r w:rsidR="00893AE8">
        <w:t>Project</w:t>
      </w:r>
      <w:r w:rsidR="00893AE8" w:rsidRPr="00893AE8">
        <w:t xml:space="preserve"> plus all other inventory sources (including the stationary and marine mobile sources associated with CP1</w:t>
      </w:r>
      <w:r w:rsidR="00893AE8">
        <w:t xml:space="preserve"> LNG</w:t>
      </w:r>
      <w:r w:rsidR="00893AE8" w:rsidRPr="00893AE8">
        <w:t>) within the radius of impact.</w:t>
      </w:r>
      <w:r w:rsidR="00893AE8">
        <w:rPr>
          <w:rStyle w:val="FootnoteReference"/>
        </w:rPr>
        <w:footnoteReference w:id="202"/>
      </w:r>
      <w:r w:rsidR="0098211C">
        <w:t xml:space="preserve">  </w:t>
      </w:r>
      <w:r w:rsidR="00A56635">
        <w:t xml:space="preserve">These include </w:t>
      </w:r>
      <w:r w:rsidR="00A56635" w:rsidRPr="001276F4">
        <w:t xml:space="preserve">stationary sources and mobile sources from </w:t>
      </w:r>
      <w:r w:rsidR="00A56635">
        <w:t>marine</w:t>
      </w:r>
      <w:r w:rsidR="00A56635" w:rsidRPr="001276F4">
        <w:t xml:space="preserve"> vessels associated with the operation of the CP2 LNG </w:t>
      </w:r>
      <w:r w:rsidR="00A56635">
        <w:t>Project</w:t>
      </w:r>
      <w:r w:rsidR="00A56635" w:rsidRPr="001276F4">
        <w:t>,</w:t>
      </w:r>
      <w:r w:rsidR="00A56635" w:rsidRPr="001276F4">
        <w:rPr>
          <w:b/>
          <w:vertAlign w:val="superscript"/>
        </w:rPr>
        <w:footnoteReference w:id="203"/>
      </w:r>
      <w:r w:rsidR="00A56635" w:rsidRPr="001276F4">
        <w:t xml:space="preserve"> as well as the stationary and mobile sources associated with the </w:t>
      </w:r>
      <w:r w:rsidR="00A56635">
        <w:t>CP1 LNG</w:t>
      </w:r>
      <w:r w:rsidR="00A56635" w:rsidRPr="001276F4">
        <w:t xml:space="preserve"> terminal, and additional offsite industrial sources obtained from the </w:t>
      </w:r>
      <w:r w:rsidR="005B6E8F">
        <w:t>L</w:t>
      </w:r>
      <w:r w:rsidR="00A56635" w:rsidRPr="001276F4">
        <w:t>DEQ Emissions Reporting and Inventory Center.</w:t>
      </w:r>
      <w:r w:rsidR="00A56635" w:rsidRPr="001276F4">
        <w:rPr>
          <w:b/>
          <w:vertAlign w:val="superscript"/>
        </w:rPr>
        <w:footnoteReference w:id="204"/>
      </w:r>
      <w:r w:rsidR="00A56635" w:rsidRPr="001276F4">
        <w:t xml:space="preserve">  </w:t>
      </w:r>
    </w:p>
    <w:p w14:paraId="5E101BB5" w14:textId="77777777" w:rsidR="001276F4" w:rsidRPr="001276F4" w:rsidRDefault="0098211C" w:rsidP="004A0AB7">
      <w:pPr>
        <w:pStyle w:val="FERCparanumber"/>
      </w:pPr>
      <w:r w:rsidRPr="0098211C">
        <w:t>The updated cumulative modeling analysis</w:t>
      </w:r>
      <w:r w:rsidR="000E366D">
        <w:t xml:space="preserve"> for the CP2 LNG Project</w:t>
      </w:r>
      <w:r w:rsidRPr="0098211C">
        <w:t xml:space="preserve"> demonstrates compliance with the NAAQS for all applicable pollutants and their respective averaging periods</w:t>
      </w:r>
      <w:r w:rsidR="00642C32">
        <w:t xml:space="preserve"> in the project area</w:t>
      </w:r>
      <w:r w:rsidR="000E366D">
        <w:t>.</w:t>
      </w:r>
      <w:r w:rsidR="000E366D">
        <w:rPr>
          <w:rStyle w:val="FootnoteReference"/>
        </w:rPr>
        <w:footnoteReference w:id="205"/>
      </w:r>
      <w:r w:rsidR="00BA3359">
        <w:t xml:space="preserve">  Accordingly, </w:t>
      </w:r>
      <w:r w:rsidR="00514159" w:rsidRPr="00514159">
        <w:t>the modeling demonstrates that the emission impacts, including 1-hour NO</w:t>
      </w:r>
      <w:r w:rsidR="00514159" w:rsidRPr="00C378F5">
        <w:rPr>
          <w:vertAlign w:val="subscript"/>
        </w:rPr>
        <w:t>2</w:t>
      </w:r>
      <w:r w:rsidR="00514159" w:rsidRPr="00514159">
        <w:t xml:space="preserve"> and annual </w:t>
      </w:r>
      <w:r w:rsidR="00F12C4A">
        <w:t xml:space="preserve">and 24-hour </w:t>
      </w:r>
      <w:r w:rsidR="00514159" w:rsidRPr="00514159">
        <w:t>PM</w:t>
      </w:r>
      <w:r w:rsidR="00514159" w:rsidRPr="00C378F5">
        <w:rPr>
          <w:vertAlign w:val="subscript"/>
        </w:rPr>
        <w:t>2.5</w:t>
      </w:r>
      <w:r w:rsidR="00514159" w:rsidRPr="00514159">
        <w:t xml:space="preserve"> impacts from the CP2 LNG </w:t>
      </w:r>
      <w:r w:rsidR="00514159">
        <w:t>Project</w:t>
      </w:r>
      <w:r w:rsidR="00514159" w:rsidRPr="00514159">
        <w:t>, when combined with past, present, and reasonably foreseeable emissions within the regional air environment are not significant</w:t>
      </w:r>
      <w:r w:rsidR="00514159">
        <w:t>.</w:t>
      </w:r>
      <w:r w:rsidR="00514159">
        <w:rPr>
          <w:rStyle w:val="FootnoteReference"/>
        </w:rPr>
        <w:footnoteReference w:id="206"/>
      </w:r>
      <w:r w:rsidR="004A0AB7">
        <w:t xml:space="preserve">  </w:t>
      </w:r>
      <w:r w:rsidR="002D76D1">
        <w:t>T</w:t>
      </w:r>
      <w:r w:rsidR="00623434">
        <w:t>he</w:t>
      </w:r>
      <w:r w:rsidR="00E275A1">
        <w:t xml:space="preserve"> updated</w:t>
      </w:r>
      <w:r w:rsidR="00623434">
        <w:t xml:space="preserve"> air modeling analyses </w:t>
      </w:r>
      <w:r w:rsidR="00E275A1">
        <w:t xml:space="preserve">for </w:t>
      </w:r>
      <w:r w:rsidR="00E275A1">
        <w:lastRenderedPageBreak/>
        <w:t xml:space="preserve">the CP2 LNG Project </w:t>
      </w:r>
      <w:r w:rsidR="00623434">
        <w:t xml:space="preserve">conducted </w:t>
      </w:r>
      <w:r w:rsidR="00CE458B">
        <w:t>by Venture Global</w:t>
      </w:r>
      <w:r w:rsidR="00E72485">
        <w:t xml:space="preserve"> (and verified by the Commission)</w:t>
      </w:r>
      <w:r w:rsidR="00CE458B">
        <w:t xml:space="preserve"> did not require an analysis beyond the second step (i.e., cumulative </w:t>
      </w:r>
      <w:r w:rsidR="00E00711">
        <w:t>impact</w:t>
      </w:r>
      <w:r w:rsidR="009E2BF3">
        <w:t xml:space="preserve"> </w:t>
      </w:r>
      <w:r w:rsidR="002D76D1">
        <w:t>analyses</w:t>
      </w:r>
      <w:r w:rsidR="009E2BF3">
        <w:t>).  B</w:t>
      </w:r>
      <w:r w:rsidR="007F528F">
        <w:t xml:space="preserve">ecause Petitioners’ </w:t>
      </w:r>
      <w:r w:rsidR="00623434">
        <w:t xml:space="preserve">assertions </w:t>
      </w:r>
      <w:r w:rsidR="009E2BF3">
        <w:t>and</w:t>
      </w:r>
      <w:r w:rsidR="00623434">
        <w:t xml:space="preserve"> the D.C. Circuit’s decision in </w:t>
      </w:r>
      <w:r w:rsidR="00623434" w:rsidRPr="004A0AB7">
        <w:rPr>
          <w:i/>
          <w:iCs/>
        </w:rPr>
        <w:t>Healthy Gulf</w:t>
      </w:r>
      <w:r w:rsidR="00623434">
        <w:t xml:space="preserve"> focused </w:t>
      </w:r>
      <w:r w:rsidR="009E2BF3">
        <w:t>on the third step in this analysis (i.e., cause and contribute or culpability analysis)</w:t>
      </w:r>
      <w:r w:rsidR="002D76D1">
        <w:t>, Petitioners’ arguments</w:t>
      </w:r>
      <w:r w:rsidR="00D14C94">
        <w:t xml:space="preserve"> </w:t>
      </w:r>
      <w:r w:rsidR="00BE6A9C">
        <w:t xml:space="preserve">on rehearing of the Authorization Order are </w:t>
      </w:r>
      <w:r w:rsidR="003B7FFE">
        <w:t>now moot</w:t>
      </w:r>
      <w:r w:rsidR="00D14C94">
        <w:t>.</w:t>
      </w:r>
      <w:r w:rsidR="00E92656">
        <w:rPr>
          <w:rStyle w:val="FootnoteReference"/>
        </w:rPr>
        <w:footnoteReference w:id="207"/>
      </w:r>
      <w:r w:rsidR="009E2BF3">
        <w:t xml:space="preserve"> </w:t>
      </w:r>
      <w:r w:rsidR="001276F4" w:rsidRPr="001276F4">
        <w:t xml:space="preserve"> </w:t>
      </w:r>
      <w:r w:rsidR="00DB59D7">
        <w:t>W</w:t>
      </w:r>
      <w:r w:rsidR="00DB59D7" w:rsidRPr="0035309A">
        <w:t xml:space="preserve">e </w:t>
      </w:r>
      <w:r w:rsidR="000523BE">
        <w:t>agree with Commission staff’s analysis that the</w:t>
      </w:r>
      <w:r w:rsidR="00DB59D7" w:rsidRPr="0035309A">
        <w:t xml:space="preserve"> revised </w:t>
      </w:r>
      <w:r w:rsidR="00DB59D7">
        <w:t xml:space="preserve">air </w:t>
      </w:r>
      <w:r w:rsidR="00DB59D7" w:rsidRPr="0035309A">
        <w:t>modeling demonstrates compliance with the NAAQS in the project area and</w:t>
      </w:r>
      <w:r w:rsidR="00BE6A9C">
        <w:t xml:space="preserve"> accordingly, </w:t>
      </w:r>
      <w:r w:rsidR="00CD46E4">
        <w:t xml:space="preserve">based on this updated analysis, </w:t>
      </w:r>
      <w:r w:rsidR="00BE6A9C">
        <w:t>continue to find</w:t>
      </w:r>
      <w:r w:rsidR="00DB59D7" w:rsidRPr="0035309A">
        <w:t xml:space="preserve"> that the </w:t>
      </w:r>
      <w:r w:rsidR="00DB59D7">
        <w:t>CP2 LNG Project</w:t>
      </w:r>
      <w:r w:rsidR="00DB59D7" w:rsidRPr="0035309A">
        <w:t xml:space="preserve"> will not significantly impact air quality</w:t>
      </w:r>
      <w:r w:rsidR="00DB59D7">
        <w:t>.</w:t>
      </w:r>
    </w:p>
    <w:p w14:paraId="2B03D1BC" w14:textId="77777777" w:rsidR="006865E5" w:rsidRPr="001276F4" w:rsidRDefault="006865E5" w:rsidP="006865E5">
      <w:pPr>
        <w:pStyle w:val="Heading3"/>
      </w:pPr>
      <w:r w:rsidRPr="001276F4">
        <w:t>Mobile Sources</w:t>
      </w:r>
    </w:p>
    <w:p w14:paraId="4C91F11D" w14:textId="77777777" w:rsidR="006865E5" w:rsidRPr="001276F4" w:rsidRDefault="006865E5" w:rsidP="006865E5">
      <w:pPr>
        <w:pStyle w:val="FERCparanumber"/>
      </w:pPr>
      <w:r w:rsidRPr="001276F4">
        <w:t xml:space="preserve">Petitioners </w:t>
      </w:r>
      <w:r w:rsidR="00066742">
        <w:t xml:space="preserve">next </w:t>
      </w:r>
      <w:r w:rsidRPr="001276F4">
        <w:t xml:space="preserve">assert that the </w:t>
      </w:r>
      <w:r w:rsidR="00F96E3E">
        <w:t xml:space="preserve">cumulative </w:t>
      </w:r>
      <w:r w:rsidRPr="001276F4">
        <w:t>air modeling</w:t>
      </w:r>
      <w:r>
        <w:t xml:space="preserve"> presented in the final EIS</w:t>
      </w:r>
      <w:r w:rsidRPr="001276F4">
        <w:t xml:space="preserve"> was insufficient because it omitted foreseeable mobile sources, such as LNG tankers</w:t>
      </w:r>
      <w:r w:rsidR="003A2251">
        <w:t xml:space="preserve"> </w:t>
      </w:r>
      <w:r w:rsidRPr="001276F4">
        <w:t xml:space="preserve">associated with other nearby LNG terminals, six of which were identified in the final EIS, even though it considered mobile sources associated with the CP1 LNG </w:t>
      </w:r>
      <w:r>
        <w:t>terminal</w:t>
      </w:r>
      <w:r w:rsidRPr="001276F4">
        <w:t>.</w:t>
      </w:r>
      <w:r w:rsidRPr="001276F4">
        <w:rPr>
          <w:b/>
          <w:vertAlign w:val="superscript"/>
        </w:rPr>
        <w:footnoteReference w:id="208"/>
      </w:r>
      <w:r w:rsidRPr="001276F4">
        <w:t xml:space="preserve">  Petitioners disagree with Commission’s arguments </w:t>
      </w:r>
      <w:r>
        <w:t xml:space="preserve">in the Authorization Order </w:t>
      </w:r>
      <w:r w:rsidRPr="001276F4">
        <w:t>as to why such mobile sources were excluded.</w:t>
      </w:r>
      <w:r w:rsidRPr="001276F4">
        <w:rPr>
          <w:b/>
          <w:vertAlign w:val="superscript"/>
        </w:rPr>
        <w:footnoteReference w:id="209"/>
      </w:r>
      <w:r w:rsidRPr="001276F4">
        <w:t xml:space="preserve">  First, they argue that, just because the CAA did not require that these mobile sources be considered in</w:t>
      </w:r>
      <w:r w:rsidR="00371A68">
        <w:t xml:space="preserve"> the state’s cumulative air impacts</w:t>
      </w:r>
      <w:r w:rsidRPr="001276F4">
        <w:t xml:space="preserve"> modeling,</w:t>
      </w:r>
      <w:r>
        <w:t xml:space="preserve"> does not mean that</w:t>
      </w:r>
      <w:r w:rsidRPr="001276F4">
        <w:t xml:space="preserve"> the Commission was not required to include them in its NEPA analysis.</w:t>
      </w:r>
      <w:r w:rsidRPr="001276F4">
        <w:rPr>
          <w:b/>
          <w:vertAlign w:val="superscript"/>
        </w:rPr>
        <w:footnoteReference w:id="210"/>
      </w:r>
      <w:r w:rsidRPr="001276F4">
        <w:t xml:space="preserve">  Petitioners maintain that NEPA imposes obligations that differ from and are broader than those imposed by the CAA, and that NEPA requires the Commission to consider cumulative effects.</w:t>
      </w:r>
      <w:r w:rsidRPr="001276F4">
        <w:rPr>
          <w:b/>
          <w:vertAlign w:val="superscript"/>
        </w:rPr>
        <w:footnoteReference w:id="211"/>
      </w:r>
      <w:r w:rsidRPr="001276F4">
        <w:t xml:space="preserve">  Noting that the Commission included mobile source emissions from the CP1 LNG facility, </w:t>
      </w:r>
      <w:r w:rsidR="00132BFD">
        <w:t xml:space="preserve">but excluded similar emissions from other facilities, </w:t>
      </w:r>
      <w:r w:rsidRPr="001276F4">
        <w:t xml:space="preserve">Petitioners state that ownership is irrelevant to the scope of NEPA </w:t>
      </w:r>
      <w:r w:rsidRPr="001276F4">
        <w:lastRenderedPageBreak/>
        <w:t>analysis.</w:t>
      </w:r>
      <w:r w:rsidRPr="001276F4">
        <w:rPr>
          <w:b/>
          <w:vertAlign w:val="superscript"/>
        </w:rPr>
        <w:footnoteReference w:id="212"/>
      </w:r>
      <w:r w:rsidRPr="001276F4">
        <w:t xml:space="preserve">  Petitioners assert that the relevant information is already in the record and the Commission </w:t>
      </w:r>
      <w:r w:rsidR="006F7807">
        <w:t>previously</w:t>
      </w:r>
      <w:r w:rsidR="006F7807" w:rsidRPr="001276F4">
        <w:t xml:space="preserve"> </w:t>
      </w:r>
      <w:r w:rsidRPr="001276F4">
        <w:t>estimated mobile source emissions associated with other terminals in its final EIS</w:t>
      </w:r>
      <w:r w:rsidR="00C32D72">
        <w:t>s</w:t>
      </w:r>
      <w:r w:rsidRPr="001276F4">
        <w:t xml:space="preserve"> for those terminal</w:t>
      </w:r>
      <w:r w:rsidR="00536B77">
        <w:t>s</w:t>
      </w:r>
      <w:r w:rsidRPr="001276F4">
        <w:t>.</w:t>
      </w:r>
      <w:r w:rsidRPr="001276F4">
        <w:rPr>
          <w:b/>
          <w:vertAlign w:val="superscript"/>
        </w:rPr>
        <w:footnoteReference w:id="213"/>
      </w:r>
      <w:r w:rsidRPr="001276F4">
        <w:t xml:space="preserve">  They maintain that the Commission has considered the cumulative effects of marine vessels from neighboring LNG terminals in other proceedings, and failed to explain why it did not do so here.</w:t>
      </w:r>
      <w:r w:rsidRPr="001276F4">
        <w:rPr>
          <w:b/>
          <w:vertAlign w:val="superscript"/>
        </w:rPr>
        <w:footnoteReference w:id="214"/>
      </w:r>
      <w:r w:rsidRPr="001276F4">
        <w:t xml:space="preserve">  Petitioners assert that the Commission </w:t>
      </w:r>
      <w:r>
        <w:t>failed to</w:t>
      </w:r>
      <w:r w:rsidRPr="001276F4">
        <w:t xml:space="preserve"> demonstrate that, where NAAQS would be exceeded when cumulative mobile sources are considered, but not exceeded otherwise, the CP2 LNG Project’s contribution to those additional exceedances would be below the </w:t>
      </w:r>
      <w:r w:rsidR="007C6606">
        <w:t xml:space="preserve">applicable </w:t>
      </w:r>
      <w:r w:rsidRPr="001276F4">
        <w:t>SIL.</w:t>
      </w:r>
      <w:r w:rsidRPr="001276F4">
        <w:rPr>
          <w:b/>
          <w:vertAlign w:val="superscript"/>
        </w:rPr>
        <w:footnoteReference w:id="215"/>
      </w:r>
      <w:r w:rsidRPr="001276F4">
        <w:t xml:space="preserve">  Petitioners argue that nothing in the record rules out or addresses the possibility that if </w:t>
      </w:r>
      <w:r w:rsidR="00570843">
        <w:t xml:space="preserve">appropriate </w:t>
      </w:r>
      <w:r w:rsidRPr="001276F4">
        <w:t>cumulative mobile source emissions are included, the CP2 LNG Project’s contribution to one or more NAAQS exceedances will also exceed the applicable SIL.</w:t>
      </w:r>
      <w:r w:rsidRPr="001276F4">
        <w:rPr>
          <w:b/>
          <w:vertAlign w:val="superscript"/>
        </w:rPr>
        <w:footnoteReference w:id="216"/>
      </w:r>
      <w:r w:rsidRPr="001276F4">
        <w:t xml:space="preserve">  </w:t>
      </w:r>
    </w:p>
    <w:p w14:paraId="15DBBAE2" w14:textId="77777777" w:rsidR="008D41F9" w:rsidRDefault="000A0A8B" w:rsidP="006865E5">
      <w:pPr>
        <w:pStyle w:val="FERCparanumber"/>
      </w:pPr>
      <w:r>
        <w:t>As an initial matter, because the updated modeled concentration results for the Moss Lake Compressor Station</w:t>
      </w:r>
      <w:r w:rsidRPr="007A3C5C">
        <w:t xml:space="preserve"> are below the SILs</w:t>
      </w:r>
      <w:r>
        <w:t xml:space="preserve"> for all pollutants</w:t>
      </w:r>
      <w:r w:rsidRPr="007A3C5C">
        <w:t xml:space="preserve">, </w:t>
      </w:r>
      <w:r>
        <w:t>a</w:t>
      </w:r>
      <w:r w:rsidRPr="007A3C5C">
        <w:t xml:space="preserve"> </w:t>
      </w:r>
      <w:r>
        <w:t xml:space="preserve">cumulative impacts </w:t>
      </w:r>
      <w:r w:rsidRPr="007A3C5C">
        <w:t>analysis</w:t>
      </w:r>
      <w:r>
        <w:t xml:space="preserve"> (i.e., second step)</w:t>
      </w:r>
      <w:r w:rsidRPr="007A3C5C">
        <w:t xml:space="preserve"> is not required per CAA modeling regulation and guidance</w:t>
      </w:r>
      <w:r>
        <w:t>.</w:t>
      </w:r>
      <w:r>
        <w:rPr>
          <w:rStyle w:val="FootnoteReference"/>
        </w:rPr>
        <w:footnoteReference w:id="217"/>
      </w:r>
      <w:r>
        <w:t xml:space="preserve">  Accordingly, </w:t>
      </w:r>
      <w:r w:rsidR="005945AD">
        <w:t xml:space="preserve">we find Petitioners arguments </w:t>
      </w:r>
      <w:r>
        <w:t>with respect to the Moss Lake Compressor Station</w:t>
      </w:r>
      <w:r w:rsidR="005945AD">
        <w:t xml:space="preserve"> moot.</w:t>
      </w:r>
      <w:r w:rsidR="005945AD">
        <w:rPr>
          <w:rStyle w:val="FootnoteReference"/>
        </w:rPr>
        <w:footnoteReference w:id="218"/>
      </w:r>
    </w:p>
    <w:p w14:paraId="299D1F4F" w14:textId="77777777" w:rsidR="00AB4E1A" w:rsidRPr="008B13EB" w:rsidRDefault="0093763D" w:rsidP="001A24AF">
      <w:pPr>
        <w:pStyle w:val="FERCparanumber"/>
      </w:pPr>
      <w:r w:rsidRPr="008B13EB">
        <w:t>Under NEPA, an agency need consider only those environmental effects that are “reasonably foreseeable.</w:t>
      </w:r>
      <w:r>
        <w:t>”</w:t>
      </w:r>
      <w:r>
        <w:rPr>
          <w:rStyle w:val="FootnoteReference"/>
        </w:rPr>
        <w:footnoteReference w:id="219"/>
      </w:r>
      <w:r w:rsidRPr="008B13EB">
        <w:t xml:space="preserve"> </w:t>
      </w:r>
      <w:r w:rsidR="0021724C">
        <w:t xml:space="preserve"> </w:t>
      </w:r>
      <w:r w:rsidRPr="008B13EB">
        <w:t xml:space="preserve">Although Petitioners assert that the Commission should consider the mobile source emissions associated with other LNG terminals in Louisiana, they fail to identify any methodology with which the Commission could meaningfully or </w:t>
      </w:r>
      <w:r w:rsidRPr="008B13EB">
        <w:lastRenderedPageBreak/>
        <w:t>accurately model such data</w:t>
      </w:r>
      <w:r>
        <w:t>.</w:t>
      </w:r>
      <w:r>
        <w:rPr>
          <w:rStyle w:val="FootnoteReference"/>
        </w:rPr>
        <w:footnoteReference w:id="220"/>
      </w:r>
      <w:r w:rsidR="0021724C">
        <w:t xml:space="preserve"> </w:t>
      </w:r>
      <w:r w:rsidRPr="008B13EB">
        <w:t xml:space="preserve"> </w:t>
      </w:r>
      <w:r w:rsidRPr="00FB5373">
        <w:t xml:space="preserve">Commission staff’s practice of including the </w:t>
      </w:r>
      <w:r w:rsidR="00D5726F" w:rsidRPr="00FB5373">
        <w:t xml:space="preserve">marine </w:t>
      </w:r>
      <w:r w:rsidRPr="00FB5373">
        <w:t xml:space="preserve">mobile </w:t>
      </w:r>
      <w:r w:rsidR="00D5726F" w:rsidRPr="00FB5373">
        <w:t xml:space="preserve">source </w:t>
      </w:r>
      <w:r w:rsidRPr="00FB5373">
        <w:t>emissions into the modeling analysis for individual LNG terminals is an effort to disclose a proposed project’s air quality impacts in the NEPA analysis, while taking advantage of EPA’s well-established modeling methodology for PSD permitting.</w:t>
      </w:r>
      <w:r w:rsidR="0021724C">
        <w:rPr>
          <w:highlight w:val="yellow"/>
        </w:rPr>
        <w:t xml:space="preserve"> </w:t>
      </w:r>
      <w:r w:rsidRPr="00543212">
        <w:rPr>
          <w:highlight w:val="yellow"/>
        </w:rPr>
        <w:t xml:space="preserve"> </w:t>
      </w:r>
      <w:r w:rsidRPr="008B13EB">
        <w:t xml:space="preserve">While Commission staff did consider </w:t>
      </w:r>
      <w:r w:rsidR="00D5726F" w:rsidRPr="00E65337">
        <w:t>marine mobile source</w:t>
      </w:r>
      <w:r w:rsidRPr="008B13EB">
        <w:t xml:space="preserve"> emissions from the CP2</w:t>
      </w:r>
      <w:r w:rsidR="009D0EE6">
        <w:t xml:space="preserve"> </w:t>
      </w:r>
      <w:r w:rsidR="009D0EE6" w:rsidRPr="00E65337">
        <w:t>LNG</w:t>
      </w:r>
      <w:r w:rsidR="009D0EE6" w:rsidRPr="00543212">
        <w:rPr>
          <w:highlight w:val="cyan"/>
        </w:rPr>
        <w:t xml:space="preserve"> </w:t>
      </w:r>
      <w:r w:rsidR="009D0EE6" w:rsidRPr="00E65337">
        <w:t>Project</w:t>
      </w:r>
      <w:r w:rsidRPr="00E65337">
        <w:t xml:space="preserve"> and </w:t>
      </w:r>
      <w:r w:rsidR="00E7331B" w:rsidRPr="00E65337">
        <w:t>adjacent</w:t>
      </w:r>
      <w:r w:rsidR="00E7331B">
        <w:t xml:space="preserve"> </w:t>
      </w:r>
      <w:r w:rsidRPr="008B13EB">
        <w:t xml:space="preserve">CP1 LNG </w:t>
      </w:r>
      <w:r w:rsidR="009D0EE6" w:rsidRPr="00E65337">
        <w:t>facility</w:t>
      </w:r>
      <w:r w:rsidRPr="008B13EB">
        <w:t xml:space="preserve">, Commission staff treated the </w:t>
      </w:r>
      <w:r w:rsidR="00567468" w:rsidRPr="00E65337">
        <w:t>marine mobile</w:t>
      </w:r>
      <w:r w:rsidR="00567468" w:rsidRPr="00543212">
        <w:rPr>
          <w:highlight w:val="cyan"/>
        </w:rPr>
        <w:t xml:space="preserve"> </w:t>
      </w:r>
      <w:r w:rsidR="00567468" w:rsidRPr="00E65337">
        <w:t>sources</w:t>
      </w:r>
      <w:r w:rsidRPr="008B13EB">
        <w:t xml:space="preserve"> as stationary sources, which results in a conservative maximum-impact estimate of the facility’s impacts.</w:t>
      </w:r>
      <w:r w:rsidR="00567468">
        <w:t xml:space="preserve"> </w:t>
      </w:r>
      <w:r w:rsidRPr="008B13EB">
        <w:t xml:space="preserve"> </w:t>
      </w:r>
      <w:r w:rsidRPr="00E65337">
        <w:t>This is consistent with EPA’s modeling methodology</w:t>
      </w:r>
      <w:r w:rsidR="00F447EA" w:rsidRPr="00E65337">
        <w:t>;</w:t>
      </w:r>
      <w:r w:rsidRPr="00E65337">
        <w:t xml:space="preserve"> </w:t>
      </w:r>
      <w:r w:rsidR="00F447EA" w:rsidRPr="00E65337">
        <w:t>however,</w:t>
      </w:r>
      <w:r w:rsidRPr="00E65337">
        <w:t xml:space="preserve"> </w:t>
      </w:r>
      <w:r w:rsidR="004E409F" w:rsidRPr="00E65337">
        <w:t xml:space="preserve">due to the large number of assumptions, </w:t>
      </w:r>
      <w:r w:rsidRPr="00E65337">
        <w:t xml:space="preserve">including other </w:t>
      </w:r>
      <w:r w:rsidR="00EC0A15" w:rsidRPr="00E65337">
        <w:t xml:space="preserve">more </w:t>
      </w:r>
      <w:r w:rsidRPr="00E65337">
        <w:t xml:space="preserve">remote </w:t>
      </w:r>
      <w:r w:rsidR="00EC0A15" w:rsidRPr="00E65337">
        <w:t xml:space="preserve">marine </w:t>
      </w:r>
      <w:r w:rsidRPr="00E65337">
        <w:t xml:space="preserve">mobile sources </w:t>
      </w:r>
      <w:r w:rsidR="00EC0A15" w:rsidRPr="00E65337">
        <w:t xml:space="preserve">from non-adjacent facilities </w:t>
      </w:r>
      <w:r w:rsidRPr="00E65337">
        <w:t>deviates too far</w:t>
      </w:r>
      <w:r w:rsidRPr="00B16881">
        <w:t>.</w:t>
      </w:r>
      <w:r>
        <w:rPr>
          <w:rStyle w:val="FootnoteReference"/>
        </w:rPr>
        <w:footnoteReference w:id="221"/>
      </w:r>
      <w:r w:rsidR="009D0EE6">
        <w:t xml:space="preserve"> </w:t>
      </w:r>
      <w:r w:rsidRPr="00B16881">
        <w:t xml:space="preserve"> </w:t>
      </w:r>
      <w:r w:rsidRPr="008B13EB">
        <w:t>For these emissions sources, AERMOD</w:t>
      </w:r>
      <w:r>
        <w:t xml:space="preserve"> as dictated by EPA’s methodology</w:t>
      </w:r>
      <w:r w:rsidRPr="008B13EB">
        <w:t xml:space="preserve">, is not suitable for modeling all of these facilities’ intermittent and transient </w:t>
      </w:r>
      <w:r w:rsidR="00EC0A15" w:rsidRPr="00E65337">
        <w:t>marine</w:t>
      </w:r>
      <w:r w:rsidR="00EC0A15">
        <w:t xml:space="preserve"> </w:t>
      </w:r>
      <w:r w:rsidRPr="008B13EB">
        <w:t>mobile sources</w:t>
      </w:r>
      <w:r>
        <w:t>.</w:t>
      </w:r>
      <w:r>
        <w:rPr>
          <w:rStyle w:val="FootnoteReference"/>
        </w:rPr>
        <w:footnoteReference w:id="222"/>
      </w:r>
      <w:r>
        <w:t xml:space="preserve"> </w:t>
      </w:r>
      <w:r w:rsidR="003A33C6">
        <w:t xml:space="preserve"> </w:t>
      </w:r>
      <w:r w:rsidRPr="00E65337">
        <w:t xml:space="preserve">The Commission is not aware of an alternative </w:t>
      </w:r>
      <w:r w:rsidR="00965700" w:rsidRPr="00E65337">
        <w:t>applica</w:t>
      </w:r>
      <w:r w:rsidR="00205861" w:rsidRPr="00E65337">
        <w:t>b</w:t>
      </w:r>
      <w:r w:rsidR="00965700" w:rsidRPr="00E65337">
        <w:t xml:space="preserve">le </w:t>
      </w:r>
      <w:r w:rsidRPr="00E65337">
        <w:t>methodology.</w:t>
      </w:r>
      <w:r>
        <w:t xml:space="preserve"> </w:t>
      </w:r>
      <w:r w:rsidRPr="008B13EB">
        <w:t xml:space="preserve"> </w:t>
      </w:r>
    </w:p>
    <w:p w14:paraId="0BC6DDD0" w14:textId="77777777" w:rsidR="00965700" w:rsidRDefault="0093763D" w:rsidP="00965700">
      <w:pPr>
        <w:pStyle w:val="FERCparanumber"/>
      </w:pPr>
      <w:r w:rsidRPr="008B13EB">
        <w:lastRenderedPageBreak/>
        <w:t xml:space="preserve">Petitioners point to the Commission’s previous analysis in </w:t>
      </w:r>
      <w:r w:rsidRPr="00887261">
        <w:rPr>
          <w:i/>
        </w:rPr>
        <w:t>Rio Grande LNG</w:t>
      </w:r>
      <w:r w:rsidR="00EF2ADD" w:rsidRPr="00954A47">
        <w:rPr>
          <w:i/>
          <w:iCs/>
        </w:rPr>
        <w:t>, LLC</w:t>
      </w:r>
      <w:r w:rsidRPr="008B13EB">
        <w:t xml:space="preserve"> to argue that the Commission can conduct this </w:t>
      </w:r>
      <w:r w:rsidR="00645FF3" w:rsidRPr="00E65337">
        <w:t>analysis</w:t>
      </w:r>
      <w:r w:rsidR="00645FF3" w:rsidRPr="008B13EB">
        <w:t>,</w:t>
      </w:r>
      <w:r>
        <w:t xml:space="preserve"> </w:t>
      </w:r>
      <w:r w:rsidRPr="00E65337">
        <w:t>but that case is distinguishable</w:t>
      </w:r>
      <w:r w:rsidRPr="008B13EB">
        <w:t>.</w:t>
      </w:r>
      <w:r w:rsidR="00645FF3">
        <w:t xml:space="preserve"> </w:t>
      </w:r>
      <w:r w:rsidRPr="008B13EB">
        <w:t xml:space="preserve"> There, the Commission acknowledged that the EIS presented air quality impacts modeling that extended beyond the federal and </w:t>
      </w:r>
      <w:r w:rsidR="008217C0">
        <w:t xml:space="preserve">Texas </w:t>
      </w:r>
      <w:r w:rsidRPr="008B13EB">
        <w:t xml:space="preserve">state required analyses, with the Rio Grande LNG </w:t>
      </w:r>
      <w:r w:rsidR="00645FF3" w:rsidRPr="00E65337">
        <w:t>facility’s</w:t>
      </w:r>
      <w:r w:rsidRPr="008B13EB">
        <w:t xml:space="preserve"> modeling examining emissions from both mobile sources and terminal operations, and the cumulative impacts modeling examining mobile and operational emissions from </w:t>
      </w:r>
      <w:r w:rsidR="00A57FE6" w:rsidRPr="00626CFD">
        <w:t>two additional LNG terminals</w:t>
      </w:r>
      <w:r w:rsidR="00A57FE6" w:rsidRPr="00626CFD">
        <w:rPr>
          <w:rStyle w:val="FootnoteReference"/>
        </w:rPr>
        <w:footnoteReference w:id="223"/>
      </w:r>
      <w:r w:rsidR="00A57FE6" w:rsidRPr="00626CFD">
        <w:t xml:space="preserve"> in</w:t>
      </w:r>
      <w:r w:rsidR="00A57FE6" w:rsidRPr="008B13EB">
        <w:t xml:space="preserve"> </w:t>
      </w:r>
      <w:r w:rsidRPr="008B13EB">
        <w:t>Brownsville</w:t>
      </w:r>
      <w:r w:rsidR="00A57FE6">
        <w:t>, Texas</w:t>
      </w:r>
      <w:r>
        <w:t>.</w:t>
      </w:r>
      <w:r>
        <w:rPr>
          <w:rStyle w:val="FootnoteReference"/>
        </w:rPr>
        <w:footnoteReference w:id="224"/>
      </w:r>
      <w:r w:rsidR="00D60476">
        <w:t xml:space="preserve"> </w:t>
      </w:r>
      <w:r w:rsidR="00965700">
        <w:t xml:space="preserve"> </w:t>
      </w:r>
      <w:r w:rsidR="00965700" w:rsidRPr="00626CFD">
        <w:t xml:space="preserve">The Commission’s cumulative impacts modeling reflected unique situational circumstances in the project’s environmental review, as all three Brownsville LNG </w:t>
      </w:r>
      <w:r w:rsidR="00626CFD">
        <w:t>t</w:t>
      </w:r>
      <w:r w:rsidR="00965700" w:rsidRPr="00626CFD">
        <w:t xml:space="preserve">erminals were simultaneously undergoing initial environmental review at the time.  Given these unique circumstances, the Commission’s cumulative impacts modeling in the Rio Grande </w:t>
      </w:r>
      <w:r w:rsidR="00626CFD">
        <w:t xml:space="preserve">LNG </w:t>
      </w:r>
      <w:r w:rsidR="00965700" w:rsidRPr="00626CFD">
        <w:t>EIS included mobile emissions from the three Brownsville LNG terminals because the Commission possessed current, facility-specific mobile source emissions data for each individual project undergoing review at the same time.</w:t>
      </w:r>
      <w:r w:rsidR="00965700" w:rsidRPr="00626CFD">
        <w:rPr>
          <w:rStyle w:val="FootnoteReference"/>
        </w:rPr>
        <w:footnoteReference w:id="225"/>
      </w:r>
      <w:r w:rsidR="00965700" w:rsidRPr="00626CFD">
        <w:t xml:space="preserve">  Such circumstances are not present in the Commission’s environmental review for the CP2 LNG </w:t>
      </w:r>
      <w:r w:rsidR="00626CFD">
        <w:t>P</w:t>
      </w:r>
      <w:r w:rsidR="00965700" w:rsidRPr="00626CFD">
        <w:t xml:space="preserve">roject, though the cumulative air modeling incorporated mobile emissions from </w:t>
      </w:r>
      <w:r w:rsidR="00626CFD">
        <w:t xml:space="preserve">the </w:t>
      </w:r>
      <w:r w:rsidR="00965700" w:rsidRPr="00626CFD">
        <w:t>CP1</w:t>
      </w:r>
      <w:r w:rsidR="00626CFD">
        <w:t xml:space="preserve"> LNG facility</w:t>
      </w:r>
      <w:r w:rsidR="00965700" w:rsidRPr="00626CFD">
        <w:t xml:space="preserve"> due to the unique circumstances discussed </w:t>
      </w:r>
      <w:r w:rsidR="00F515FB">
        <w:t>herein</w:t>
      </w:r>
      <w:r w:rsidR="00965700" w:rsidRPr="00626CFD">
        <w:t xml:space="preserve">. </w:t>
      </w:r>
      <w:r w:rsidR="00626CFD">
        <w:t xml:space="preserve"> </w:t>
      </w:r>
      <w:r w:rsidR="00965700" w:rsidRPr="00626CFD">
        <w:t xml:space="preserve">Here, Petitioners ask the Commission to add mobile air emissions data from six other jurisdictional LNG terminals, which would require the Commission to seek data for projects not currently undergoing </w:t>
      </w:r>
      <w:r w:rsidR="00F00509" w:rsidRPr="00626CFD">
        <w:t xml:space="preserve">such </w:t>
      </w:r>
      <w:r w:rsidR="00965700" w:rsidRPr="00626CFD">
        <w:t>review before the Commission.</w:t>
      </w:r>
    </w:p>
    <w:p w14:paraId="67382C4F" w14:textId="77777777" w:rsidR="00E523F3" w:rsidRDefault="00965700" w:rsidP="0093763D">
      <w:pPr>
        <w:pStyle w:val="FERCparanumber"/>
      </w:pPr>
      <w:r w:rsidRPr="00626CFD">
        <w:t xml:space="preserve">Further, in the case of the analysis for </w:t>
      </w:r>
      <w:r w:rsidRPr="00887261">
        <w:t>Rio Grande LNG</w:t>
      </w:r>
      <w:r w:rsidRPr="00626CFD">
        <w:t>, t</w:t>
      </w:r>
      <w:r w:rsidR="0093763D" w:rsidRPr="00626CFD">
        <w:t>he</w:t>
      </w:r>
      <w:r w:rsidR="0093763D" w:rsidRPr="008B13EB">
        <w:t xml:space="preserve"> Commission acknowledged that this approach was overly conservative, explaining that the analysis reflects conditions occurring only when all three </w:t>
      </w:r>
      <w:r w:rsidR="0093763D" w:rsidRPr="00626CFD">
        <w:t>nearby</w:t>
      </w:r>
      <w:r w:rsidR="0093763D">
        <w:t xml:space="preserve"> </w:t>
      </w:r>
      <w:r w:rsidR="0093763D" w:rsidRPr="008B13EB">
        <w:t>terminals will be loading LNG vessels simultaneously.</w:t>
      </w:r>
      <w:r w:rsidR="00626CFD">
        <w:t xml:space="preserve"> </w:t>
      </w:r>
      <w:r w:rsidR="0093763D">
        <w:t xml:space="preserve"> </w:t>
      </w:r>
      <w:r w:rsidR="00626CFD" w:rsidRPr="00E13C8F">
        <w:t>T</w:t>
      </w:r>
      <w:r w:rsidR="0093763D" w:rsidRPr="00E13C8F">
        <w:t xml:space="preserve">hat </w:t>
      </w:r>
      <w:r w:rsidRPr="00E13C8F">
        <w:t xml:space="preserve">overly conservative </w:t>
      </w:r>
      <w:r w:rsidR="0093763D" w:rsidRPr="00E13C8F">
        <w:t>approach would not account for contribution differences at different points in space and time, weather patterns, and other variables that could affect outcomes, and overestimates each project’s contribution to air quality generally</w:t>
      </w:r>
      <w:r w:rsidR="0093763D" w:rsidRPr="000B7F8B">
        <w:t>.</w:t>
      </w:r>
      <w:r w:rsidR="00E13C8F">
        <w:t xml:space="preserve"> </w:t>
      </w:r>
      <w:r w:rsidR="0093763D" w:rsidRPr="000B7F8B">
        <w:t xml:space="preserve"> </w:t>
      </w:r>
      <w:r w:rsidR="0093763D" w:rsidRPr="008B13EB">
        <w:t xml:space="preserve">Due to the large number of assumptions, even if the Commission </w:t>
      </w:r>
      <w:r w:rsidR="0093763D" w:rsidRPr="008B13EB">
        <w:lastRenderedPageBreak/>
        <w:t>incorporate</w:t>
      </w:r>
      <w:r w:rsidR="004D06BC" w:rsidRPr="00E13C8F">
        <w:t>d</w:t>
      </w:r>
      <w:r w:rsidR="0093763D" w:rsidRPr="008B13EB">
        <w:t xml:space="preserve"> </w:t>
      </w:r>
      <w:r w:rsidR="00593643" w:rsidRPr="00E13C8F">
        <w:t>marine mobile source</w:t>
      </w:r>
      <w:r w:rsidR="0093763D" w:rsidRPr="008B13EB">
        <w:t xml:space="preserve"> emissions into AERMOD from </w:t>
      </w:r>
      <w:r w:rsidR="00F6003F" w:rsidRPr="00E13C8F">
        <w:t>more remote marine mobile sources</w:t>
      </w:r>
      <w:r w:rsidR="0093763D" w:rsidRPr="008B13EB">
        <w:t>, those assumptions compounded would not provide accurate, and therefore, not meaningful “reasonably foreseeable” information.</w:t>
      </w:r>
      <w:r w:rsidR="00894C83">
        <w:rPr>
          <w:rStyle w:val="FootnoteReference"/>
        </w:rPr>
        <w:footnoteReference w:id="226"/>
      </w:r>
      <w:r>
        <w:t xml:space="preserve">  </w:t>
      </w:r>
      <w:r w:rsidRPr="00D36C9E">
        <w:t>Furthermore, we note that CEQ has rescinded its regulations related to consideration of cumulative effects under NEPA.</w:t>
      </w:r>
      <w:r w:rsidRPr="00D36C9E">
        <w:rPr>
          <w:rStyle w:val="FootnoteReference"/>
        </w:rPr>
        <w:footnoteReference w:id="227"/>
      </w:r>
    </w:p>
    <w:p w14:paraId="7108B1EE" w14:textId="77777777" w:rsidR="009442E8" w:rsidRDefault="00F75B03" w:rsidP="000D38F6">
      <w:pPr>
        <w:pStyle w:val="FERCparanumber"/>
      </w:pPr>
      <w:r w:rsidRPr="001276F4">
        <w:t xml:space="preserve">The </w:t>
      </w:r>
      <w:r w:rsidR="00EE5706">
        <w:t xml:space="preserve">updated </w:t>
      </w:r>
      <w:r w:rsidRPr="001276F4">
        <w:t>cumulative air dispersion modeling</w:t>
      </w:r>
      <w:r w:rsidR="00EE5706">
        <w:t xml:space="preserve"> presented in the</w:t>
      </w:r>
      <w:r w:rsidRPr="001276F4">
        <w:t xml:space="preserve"> </w:t>
      </w:r>
      <w:r>
        <w:t xml:space="preserve">final supplemental EIS for the CP2 LNG Project </w:t>
      </w:r>
      <w:r w:rsidRPr="001276F4">
        <w:t xml:space="preserve">was conducted in accordance with EPA’s </w:t>
      </w:r>
      <w:r w:rsidR="00E93D95">
        <w:t xml:space="preserve">    </w:t>
      </w:r>
      <w:r w:rsidRPr="001276F4">
        <w:t>40 C.F.R. part 51, Appendix W.</w:t>
      </w:r>
      <w:r w:rsidRPr="001276F4">
        <w:rPr>
          <w:b/>
          <w:vertAlign w:val="superscript"/>
        </w:rPr>
        <w:footnoteReference w:id="228"/>
      </w:r>
      <w:r w:rsidRPr="001276F4">
        <w:t xml:space="preserve">  The cumulative air dispersion modeling for the </w:t>
      </w:r>
      <w:r w:rsidR="00E93D95">
        <w:t xml:space="preserve">     </w:t>
      </w:r>
      <w:r w:rsidR="00EE5706">
        <w:t xml:space="preserve">CP2 LNG Project </w:t>
      </w:r>
      <w:r w:rsidRPr="001276F4">
        <w:t>included</w:t>
      </w:r>
      <w:r w:rsidR="00E93D95">
        <w:t xml:space="preserve">:  </w:t>
      </w:r>
      <w:r w:rsidR="00A718ED" w:rsidRPr="00FB5373">
        <w:t>(1) emissions inventory provided by the LDEQ and (2)</w:t>
      </w:r>
      <w:r w:rsidRPr="001276F4">
        <w:t xml:space="preserve"> both stationary sources and mobile sources (LNG vessels and tugs) associated with the operation of the CP2 LNG </w:t>
      </w:r>
      <w:r>
        <w:t>Project</w:t>
      </w:r>
      <w:r w:rsidRPr="001276F4">
        <w:t xml:space="preserve">, as well as the stationary and mobile sources associated with </w:t>
      </w:r>
      <w:r>
        <w:t>CP1 LNG</w:t>
      </w:r>
      <w:r w:rsidR="00965700">
        <w:t xml:space="preserve"> </w:t>
      </w:r>
      <w:r w:rsidR="00CE16E3" w:rsidRPr="00B078B1">
        <w:t>because Venture Global filed additional emissions data for CP1 LNG in the record in response to the Commission’s supplemental data requests regarding the CP2 LNG Project pursuant to the Rehearing Order.</w:t>
      </w:r>
      <w:r w:rsidRPr="00B078B1">
        <w:rPr>
          <w:b/>
          <w:vertAlign w:val="superscript"/>
        </w:rPr>
        <w:footnoteReference w:id="229"/>
      </w:r>
      <w:r w:rsidRPr="00B078B1">
        <w:t xml:space="preserve">  </w:t>
      </w:r>
      <w:r w:rsidR="00867CD0" w:rsidRPr="00B078B1">
        <w:t>T</w:t>
      </w:r>
      <w:r w:rsidRPr="001276F4">
        <w:t xml:space="preserve">he emissions inventory provided by the </w:t>
      </w:r>
      <w:r>
        <w:t>L</w:t>
      </w:r>
      <w:r w:rsidRPr="001276F4">
        <w:t>DEQ does not include mobile emissions associated with the other LNG terminals, and thus, those emissions were not included in the cumulative impacts modeling in the final EIS</w:t>
      </w:r>
      <w:r>
        <w:t xml:space="preserve"> or final supplemental EIS</w:t>
      </w:r>
      <w:r w:rsidRPr="001276F4">
        <w:t>.</w:t>
      </w:r>
      <w:r w:rsidRPr="001276F4">
        <w:rPr>
          <w:b/>
          <w:vertAlign w:val="superscript"/>
        </w:rPr>
        <w:footnoteReference w:id="230"/>
      </w:r>
      <w:r w:rsidRPr="001276F4">
        <w:t xml:space="preserve">  </w:t>
      </w:r>
      <w:r w:rsidR="00867CD0" w:rsidRPr="00CC1DC2">
        <w:t>T</w:t>
      </w:r>
      <w:r w:rsidRPr="001276F4">
        <w:t>his is consistent with the PSD requirements of the CAA.</w:t>
      </w:r>
      <w:r w:rsidRPr="001276F4">
        <w:rPr>
          <w:b/>
          <w:bCs/>
          <w:vertAlign w:val="superscript"/>
        </w:rPr>
        <w:footnoteReference w:id="231"/>
      </w:r>
      <w:r w:rsidRPr="001276F4">
        <w:t xml:space="preserve">  </w:t>
      </w:r>
      <w:r w:rsidR="00AF41C0">
        <w:t>As explained above, t</w:t>
      </w:r>
      <w:r w:rsidR="006043A6" w:rsidRPr="001276F4">
        <w:t xml:space="preserve">he EPA is vested with </w:t>
      </w:r>
      <w:r w:rsidR="006043A6" w:rsidRPr="001276F4">
        <w:lastRenderedPageBreak/>
        <w:t>primary authority</w:t>
      </w:r>
      <w:r w:rsidR="006043A6">
        <w:t xml:space="preserve"> under the CAA and its </w:t>
      </w:r>
      <w:r w:rsidR="00541872">
        <w:t>amendments</w:t>
      </w:r>
      <w:r w:rsidR="006043A6" w:rsidRPr="001276F4">
        <w:t xml:space="preserve"> to implement and enforce regulations to reduce air pollution</w:t>
      </w:r>
      <w:r w:rsidR="006043A6">
        <w:t>,</w:t>
      </w:r>
      <w:r w:rsidR="006043A6" w:rsidRPr="001276F4">
        <w:rPr>
          <w:b/>
          <w:vertAlign w:val="superscript"/>
        </w:rPr>
        <w:footnoteReference w:id="232"/>
      </w:r>
      <w:r w:rsidR="006043A6">
        <w:t xml:space="preserve"> and </w:t>
      </w:r>
      <w:r w:rsidR="002532DC" w:rsidRPr="00CC1DC2">
        <w:t>LDEQ is the state agency tasked with implementing the relevant portions of the CAA under EPA oversight.</w:t>
      </w:r>
      <w:r w:rsidR="002532DC">
        <w:t xml:space="preserve">  T</w:t>
      </w:r>
      <w:r w:rsidR="006043A6">
        <w:t xml:space="preserve">he </w:t>
      </w:r>
      <w:r>
        <w:t>Commission</w:t>
      </w:r>
      <w:r w:rsidRPr="001276F4">
        <w:t xml:space="preserve"> routinely, and appropriately, relies on other agencies’ expertise in carrying out its NEPA responsibilities</w:t>
      </w:r>
      <w:r w:rsidR="00A718ED">
        <w:t xml:space="preserve">, </w:t>
      </w:r>
      <w:r w:rsidR="00A718ED" w:rsidRPr="00341EF8">
        <w:t>which in this case supports using the LDEQ’s emissions inventory as the most reliable data input for the cumulative analysis</w:t>
      </w:r>
      <w:r w:rsidRPr="001276F4">
        <w:t>.</w:t>
      </w:r>
      <w:r w:rsidRPr="001276F4">
        <w:rPr>
          <w:b/>
          <w:vertAlign w:val="superscript"/>
        </w:rPr>
        <w:footnoteReference w:id="233"/>
      </w:r>
      <w:r w:rsidRPr="001276F4">
        <w:t xml:space="preserve">  </w:t>
      </w:r>
    </w:p>
    <w:p w14:paraId="759EF27E" w14:textId="77777777" w:rsidR="00150129" w:rsidRDefault="00DE0DCC">
      <w:pPr>
        <w:pStyle w:val="FERCparanumber"/>
      </w:pPr>
      <w:r w:rsidRPr="00DE0DCC">
        <w:t xml:space="preserve">For these reasons, we find it more reliable to rely on the emissions inventory provided by LDEQ, the state agency tasked with implementing the relevant portions of </w:t>
      </w:r>
      <w:r w:rsidRPr="00DE0DCC">
        <w:lastRenderedPageBreak/>
        <w:t>the CAA.</w:t>
      </w:r>
      <w:r w:rsidR="00A25BAD" w:rsidRPr="00CA5769">
        <w:rPr>
          <w:rStyle w:val="FootnoteReference"/>
        </w:rPr>
        <w:footnoteReference w:id="234"/>
      </w:r>
      <w:r w:rsidRPr="00DE0DCC">
        <w:t xml:space="preserve">  </w:t>
      </w:r>
      <w:r w:rsidR="005E2C49">
        <w:t>“</w:t>
      </w:r>
      <w:r w:rsidR="005E2C49" w:rsidRPr="005E2C49">
        <w:t>The NEPA process involves an almost endless series of judgment calls</w:t>
      </w:r>
      <w:r w:rsidR="005E2C49">
        <w:t>”</w:t>
      </w:r>
      <w:r w:rsidR="002F2E26">
        <w:t xml:space="preserve"> that are vested in the agencies.</w:t>
      </w:r>
      <w:r w:rsidR="005E2C49">
        <w:rPr>
          <w:rStyle w:val="FootnoteReference"/>
        </w:rPr>
        <w:footnoteReference w:id="235"/>
      </w:r>
      <w:r w:rsidR="005E2C49" w:rsidRPr="005E2C49">
        <w:t xml:space="preserve"> </w:t>
      </w:r>
      <w:r w:rsidR="008616FF">
        <w:t xml:space="preserve"> </w:t>
      </w:r>
      <w:r w:rsidR="009B0E9D">
        <w:t>And “[w]</w:t>
      </w:r>
      <w:r w:rsidR="009B0E9D" w:rsidRPr="00E0631A">
        <w:t>hile additional data might enable a more detailed environmental analysis, NEPA does not require maximum detail</w:t>
      </w:r>
      <w:r w:rsidR="009B0E9D">
        <w:t>”</w:t>
      </w:r>
      <w:r w:rsidR="003D52CE">
        <w:t xml:space="preserve"> but instead</w:t>
      </w:r>
      <w:r w:rsidR="005E208E">
        <w:t xml:space="preserve">, </w:t>
      </w:r>
      <w:r w:rsidR="009630CA">
        <w:t>“</w:t>
      </w:r>
      <w:r w:rsidR="005E208E">
        <w:t xml:space="preserve">requires </w:t>
      </w:r>
      <w:r w:rsidR="009630CA" w:rsidRPr="00E0631A">
        <w:t>agencies to make a series of line-drawing decisions based on the significance and usefulness of additional informatio</w:t>
      </w:r>
      <w:r w:rsidR="009630CA">
        <w:t>n.”</w:t>
      </w:r>
      <w:r w:rsidR="009B0E9D">
        <w:rPr>
          <w:rStyle w:val="FootnoteReference"/>
        </w:rPr>
        <w:footnoteReference w:id="236"/>
      </w:r>
      <w:r w:rsidR="008616FF">
        <w:t xml:space="preserve">  </w:t>
      </w:r>
      <w:r w:rsidR="001D0EC9">
        <w:t xml:space="preserve">Because LDEQ does not include </w:t>
      </w:r>
      <w:r w:rsidR="008D5821">
        <w:t xml:space="preserve">mobile emissions in its emissions inventory nor require </w:t>
      </w:r>
      <w:r w:rsidR="004932FD">
        <w:t xml:space="preserve">applicants to include </w:t>
      </w:r>
      <w:r w:rsidR="00E25F19">
        <w:t>such emissions in permit application</w:t>
      </w:r>
      <w:r w:rsidR="000324EB">
        <w:t>s</w:t>
      </w:r>
      <w:r w:rsidR="00AB7C25">
        <w:t>,</w:t>
      </w:r>
      <w:r w:rsidR="0059121E">
        <w:rPr>
          <w:rStyle w:val="FootnoteReference"/>
        </w:rPr>
        <w:footnoteReference w:id="237"/>
      </w:r>
      <w:r w:rsidR="00AB7C25">
        <w:t xml:space="preserve"> </w:t>
      </w:r>
      <w:r w:rsidR="00D21D99" w:rsidRPr="00D21D99">
        <w:t>and</w:t>
      </w:r>
      <w:r w:rsidR="00D21D99">
        <w:t xml:space="preserve"> because</w:t>
      </w:r>
      <w:r w:rsidR="00D21D99" w:rsidRPr="00D21D99">
        <w:t xml:space="preserve"> LDEQ’s requirements are designed to ensure </w:t>
      </w:r>
      <w:r w:rsidR="00D21D99">
        <w:t>a sufficient</w:t>
      </w:r>
      <w:r w:rsidR="00D21D99" w:rsidRPr="00D21D99">
        <w:t xml:space="preserve"> assessment of a proposal’s emissions under the NAAQS, upon which the Commission relies in conducting its NEPA analysis, we find the Commission has complied with its NEPA obligations.</w:t>
      </w:r>
      <w:r w:rsidR="00AB7C25">
        <w:rPr>
          <w:rStyle w:val="FootnoteReference"/>
        </w:rPr>
        <w:footnoteReference w:id="238"/>
      </w:r>
      <w:r w:rsidR="00AA2D23">
        <w:t xml:space="preserve"> </w:t>
      </w:r>
      <w:r w:rsidR="000B6C7D">
        <w:t xml:space="preserve"> </w:t>
      </w:r>
      <w:r w:rsidR="00EF0165">
        <w:t>We also find that</w:t>
      </w:r>
      <w:r w:rsidR="00EF0165" w:rsidRPr="001276F4">
        <w:t xml:space="preserve"> </w:t>
      </w:r>
      <w:r w:rsidR="00EF0165">
        <w:t>considering</w:t>
      </w:r>
      <w:r w:rsidR="00EF0165" w:rsidRPr="001276F4">
        <w:t xml:space="preserve"> </w:t>
      </w:r>
      <w:r w:rsidR="00EF0165">
        <w:t xml:space="preserve">mobile emissions </w:t>
      </w:r>
      <w:r w:rsidR="00EF0165">
        <w:lastRenderedPageBreak/>
        <w:t xml:space="preserve">from the CP2 LNG Project as well as </w:t>
      </w:r>
      <w:r w:rsidR="00EF0165" w:rsidRPr="001276F4">
        <w:t>addition</w:t>
      </w:r>
      <w:r w:rsidR="00EF0165">
        <w:t>al</w:t>
      </w:r>
      <w:r w:rsidR="00EF0165" w:rsidRPr="001276F4">
        <w:t xml:space="preserve"> nearby mobile source emissions</w:t>
      </w:r>
      <w:r w:rsidR="00EF0165">
        <w:t xml:space="preserve"> </w:t>
      </w:r>
      <w:r w:rsidR="00EF0165" w:rsidRPr="001276F4">
        <w:t xml:space="preserve">from </w:t>
      </w:r>
      <w:r w:rsidR="00EF0165">
        <w:t>the CP1 LNG facility</w:t>
      </w:r>
      <w:r w:rsidR="00EF0165" w:rsidRPr="001276F4">
        <w:t>,</w:t>
      </w:r>
      <w:r w:rsidR="00EF0165">
        <w:t xml:space="preserve"> </w:t>
      </w:r>
      <w:r w:rsidR="00EF0165" w:rsidRPr="001276F4">
        <w:t>extended beyond the federal and state required analyses</w:t>
      </w:r>
      <w:r w:rsidR="0042541C">
        <w:t>, while remaining within NEPA’s bounds of reasonableness and meaningful analysis</w:t>
      </w:r>
      <w:r w:rsidR="0042541C" w:rsidRPr="001276F4">
        <w:t>.</w:t>
      </w:r>
      <w:r w:rsidR="0042541C" w:rsidRPr="001276F4">
        <w:rPr>
          <w:b/>
          <w:vertAlign w:val="superscript"/>
        </w:rPr>
        <w:footnoteReference w:id="239"/>
      </w:r>
      <w:r w:rsidR="0042541C" w:rsidRPr="001276F4">
        <w:t xml:space="preserve">  </w:t>
      </w:r>
    </w:p>
    <w:p w14:paraId="6DC9AF80" w14:textId="77777777" w:rsidR="00720795" w:rsidRPr="001276F4" w:rsidRDefault="00422B37" w:rsidP="006F034D">
      <w:pPr>
        <w:pStyle w:val="FERCparanumber"/>
      </w:pPr>
      <w:r>
        <w:t>CP2 LNG</w:t>
      </w:r>
      <w:r w:rsidR="00E41F81">
        <w:t>’s updated modeling</w:t>
      </w:r>
      <w:r>
        <w:t xml:space="preserve"> us</w:t>
      </w:r>
      <w:r w:rsidR="00384B85">
        <w:t xml:space="preserve">ed the most recent </w:t>
      </w:r>
      <w:r w:rsidR="00384B85" w:rsidRPr="00384B85">
        <w:t>validated air quality monitor data and the most recent emissions inventory revisions provided by the LDEQ for facilities within the radius of impact</w:t>
      </w:r>
      <w:r w:rsidR="00384B85">
        <w:t xml:space="preserve"> in its updated </w:t>
      </w:r>
      <w:r w:rsidR="00AB479A">
        <w:t xml:space="preserve">cumulative air modeling for the </w:t>
      </w:r>
      <w:r w:rsidR="00E93D95">
        <w:t xml:space="preserve">           </w:t>
      </w:r>
      <w:r w:rsidR="00AB479A">
        <w:t>CP2 LNG Project.</w:t>
      </w:r>
      <w:r w:rsidR="00AB479A">
        <w:rPr>
          <w:rStyle w:val="FootnoteReference"/>
        </w:rPr>
        <w:footnoteReference w:id="240"/>
      </w:r>
      <w:r w:rsidR="000A6F25">
        <w:t xml:space="preserve">  </w:t>
      </w:r>
      <w:r w:rsidR="007D286E">
        <w:t xml:space="preserve">As discussed in the final supplemental EIS, </w:t>
      </w:r>
      <w:r w:rsidR="000A6F25" w:rsidRPr="000A6F25">
        <w:t>CP2 LNG</w:t>
      </w:r>
      <w:r w:rsidR="000A6F25">
        <w:t>’s</w:t>
      </w:r>
      <w:r w:rsidR="000A6F25" w:rsidRPr="000A6F25">
        <w:t xml:space="preserve"> </w:t>
      </w:r>
      <w:r w:rsidR="000A6F25">
        <w:t xml:space="preserve">updated </w:t>
      </w:r>
      <w:r w:rsidR="00C85E9B">
        <w:t>modeling</w:t>
      </w:r>
      <w:r w:rsidR="000A6F25" w:rsidRPr="000A6F25">
        <w:t xml:space="preserve"> </w:t>
      </w:r>
      <w:r w:rsidR="00C85E9B">
        <w:t>incorporates</w:t>
      </w:r>
      <w:r w:rsidR="000A6F25" w:rsidRPr="000A6F25">
        <w:t xml:space="preserve"> the updates from the LDEQ/EPA Model from December 2024 and </w:t>
      </w:r>
      <w:r w:rsidR="00C85E9B">
        <w:t>updates</w:t>
      </w:r>
      <w:r w:rsidR="000A6F25" w:rsidRPr="000A6F25">
        <w:t xml:space="preserve"> the emission factors for the marine mobile sources associated with the </w:t>
      </w:r>
      <w:r w:rsidR="00C85E9B">
        <w:t>CP1 LNG terminal</w:t>
      </w:r>
      <w:r w:rsidR="000A6F25" w:rsidRPr="000A6F25">
        <w:t>, which were modeled as offsite inventory.</w:t>
      </w:r>
      <w:r w:rsidR="00C85E9B">
        <w:rPr>
          <w:rStyle w:val="FootnoteReference"/>
        </w:rPr>
        <w:footnoteReference w:id="241"/>
      </w:r>
      <w:r w:rsidR="00522065">
        <w:t xml:space="preserve"> </w:t>
      </w:r>
      <w:r w:rsidR="00510294">
        <w:t xml:space="preserve"> </w:t>
      </w:r>
      <w:r w:rsidR="006865E5" w:rsidRPr="001276F4">
        <w:t xml:space="preserve">The CP2 LNG Project air emission sources were modeled along with </w:t>
      </w:r>
      <w:r w:rsidR="00522065">
        <w:t xml:space="preserve">the </w:t>
      </w:r>
      <w:r w:rsidR="006865E5" w:rsidRPr="001276F4">
        <w:t xml:space="preserve">inventory of offsite sources within the </w:t>
      </w:r>
      <w:r w:rsidR="00E93D95">
        <w:t xml:space="preserve">                 </w:t>
      </w:r>
      <w:r w:rsidR="006865E5" w:rsidRPr="001276F4">
        <w:t>pollutant-specific area of impact</w:t>
      </w:r>
      <w:r w:rsidR="00931939">
        <w:t xml:space="preserve"> (AOI)</w:t>
      </w:r>
      <w:r w:rsidR="006865E5" w:rsidRPr="001276F4">
        <w:t xml:space="preserve"> and added to a background concentration with the resulting total impacts compared with the NAAQS.</w:t>
      </w:r>
      <w:r w:rsidR="006865E5" w:rsidRPr="001276F4">
        <w:rPr>
          <w:b/>
          <w:vertAlign w:val="superscript"/>
        </w:rPr>
        <w:footnoteReference w:id="242"/>
      </w:r>
      <w:r w:rsidR="006865E5" w:rsidRPr="001276F4">
        <w:t xml:space="preserve">  The </w:t>
      </w:r>
      <w:r w:rsidR="00931939">
        <w:t>AOI</w:t>
      </w:r>
      <w:r w:rsidR="006865E5" w:rsidRPr="001276F4">
        <w:t xml:space="preserve"> was established as the distance from the </w:t>
      </w:r>
      <w:r w:rsidR="00931939">
        <w:t xml:space="preserve">CP2 LNG Project </w:t>
      </w:r>
      <w:r w:rsidR="006865E5" w:rsidRPr="001276F4">
        <w:t xml:space="preserve">to the farthest receptor that showed a modeled impact greater than the SIL in the </w:t>
      </w:r>
      <w:r w:rsidR="00250F22">
        <w:t>preliminary screening</w:t>
      </w:r>
      <w:r w:rsidR="006865E5" w:rsidRPr="001276F4">
        <w:t xml:space="preserve"> modeling analysis.  </w:t>
      </w:r>
      <w:r w:rsidR="001644CB" w:rsidRPr="001644CB">
        <w:t xml:space="preserve">The background sources inventory included all sources within the area of impact plus 15 </w:t>
      </w:r>
      <w:r w:rsidR="001A534F">
        <w:t xml:space="preserve">km </w:t>
      </w:r>
      <w:r w:rsidR="001644CB" w:rsidRPr="001644CB">
        <w:t>and all major sources within the area of impact plus 20 k</w:t>
      </w:r>
      <w:r w:rsidR="00517F7B">
        <w:t>m</w:t>
      </w:r>
      <w:r w:rsidR="001644CB" w:rsidRPr="001644CB">
        <w:t xml:space="preserve"> (in either case the area of impact would not extend beyond a 50 </w:t>
      </w:r>
      <w:r w:rsidR="001A534F">
        <w:t>km</w:t>
      </w:r>
      <w:r w:rsidR="001644CB" w:rsidRPr="001644CB">
        <w:t xml:space="preserve"> by </w:t>
      </w:r>
      <w:r w:rsidR="001A534F" w:rsidRPr="001644CB">
        <w:t>50</w:t>
      </w:r>
      <w:r w:rsidR="001A534F">
        <w:t xml:space="preserve"> km</w:t>
      </w:r>
      <w:r w:rsidR="001644CB" w:rsidRPr="001644CB">
        <w:t xml:space="preserve"> grid from the </w:t>
      </w:r>
      <w:r w:rsidR="001644CB">
        <w:t>CP2 LNG Project</w:t>
      </w:r>
      <w:r w:rsidR="001644CB" w:rsidRPr="001644CB">
        <w:t xml:space="preserve"> due to the accuracy constraints of dispersion models).</w:t>
      </w:r>
      <w:r w:rsidR="001644CB">
        <w:rPr>
          <w:rStyle w:val="FootnoteReference"/>
        </w:rPr>
        <w:footnoteReference w:id="243"/>
      </w:r>
      <w:r w:rsidR="001644CB" w:rsidRPr="001644CB">
        <w:t xml:space="preserve">  </w:t>
      </w:r>
      <w:r w:rsidR="00847261" w:rsidRPr="004D7E8F">
        <w:t>As in the final EIS,</w:t>
      </w:r>
      <w:r w:rsidR="00847261">
        <w:t xml:space="preserve"> t</w:t>
      </w:r>
      <w:r w:rsidR="006865E5" w:rsidRPr="001276F4">
        <w:t xml:space="preserve">he sources modeled included </w:t>
      </w:r>
      <w:r w:rsidR="006865E5" w:rsidRPr="001276F4">
        <w:lastRenderedPageBreak/>
        <w:t xml:space="preserve">the Commonwealth and </w:t>
      </w:r>
      <w:r w:rsidR="006618F3">
        <w:t>CP1</w:t>
      </w:r>
      <w:r w:rsidR="006865E5" w:rsidRPr="001276F4">
        <w:t xml:space="preserve"> LNG </w:t>
      </w:r>
      <w:r w:rsidR="006618F3">
        <w:t>terminals</w:t>
      </w:r>
      <w:r w:rsidR="006865E5" w:rsidRPr="001276F4">
        <w:t>.</w:t>
      </w:r>
      <w:r w:rsidR="006865E5" w:rsidRPr="001276F4">
        <w:rPr>
          <w:b/>
          <w:vertAlign w:val="superscript"/>
        </w:rPr>
        <w:footnoteReference w:id="244"/>
      </w:r>
      <w:r w:rsidR="006865E5" w:rsidRPr="001276F4">
        <w:t xml:space="preserve">  </w:t>
      </w:r>
      <w:r w:rsidR="00E8691C">
        <w:t xml:space="preserve">The </w:t>
      </w:r>
      <w:r w:rsidR="000A16F6">
        <w:t>updated cumulative air modeling for the CP2 LNG Project demonstrated</w:t>
      </w:r>
      <w:r w:rsidR="00493130">
        <w:t xml:space="preserve"> that t</w:t>
      </w:r>
      <w:r w:rsidR="00493130" w:rsidRPr="00493130">
        <w:t>he maximum emission impacts based upon the cumulative modeling does not exceed the NAAQS</w:t>
      </w:r>
      <w:r w:rsidR="00A73A2D">
        <w:t xml:space="preserve"> at any receptor within the AOI</w:t>
      </w:r>
      <w:r w:rsidR="006865E5" w:rsidRPr="001276F4">
        <w:t>.</w:t>
      </w:r>
      <w:r w:rsidR="006865E5">
        <w:rPr>
          <w:rStyle w:val="FootnoteReference"/>
        </w:rPr>
        <w:footnoteReference w:id="245"/>
      </w:r>
      <w:r w:rsidR="006865E5" w:rsidRPr="001276F4">
        <w:t xml:space="preserve">  We find that the Commission’s analysis of cumulative air quality impacts satisfied its responsibilities under NEPA. </w:t>
      </w:r>
    </w:p>
    <w:p w14:paraId="6D5EB8B5" w14:textId="77777777" w:rsidR="00457673" w:rsidRPr="001276F4" w:rsidRDefault="00457673" w:rsidP="00457673">
      <w:pPr>
        <w:pStyle w:val="Heading3"/>
      </w:pPr>
      <w:r w:rsidRPr="001276F4">
        <w:t xml:space="preserve">Geographic Scope </w:t>
      </w:r>
    </w:p>
    <w:p w14:paraId="65E0F7A8" w14:textId="77777777" w:rsidR="00457673" w:rsidRPr="001276F4" w:rsidRDefault="00457673" w:rsidP="00457673">
      <w:pPr>
        <w:pStyle w:val="FERCparanumber"/>
      </w:pPr>
      <w:r w:rsidRPr="001276F4">
        <w:t>Petitioners next assert that the Commission has acted inconsistently in its review of LNG projects when compared to its review of the neighboring Commonwealth LNG terminal.</w:t>
      </w:r>
      <w:r w:rsidRPr="001276F4">
        <w:rPr>
          <w:b/>
          <w:vertAlign w:val="superscript"/>
        </w:rPr>
        <w:footnoteReference w:id="246"/>
      </w:r>
      <w:r w:rsidRPr="001276F4">
        <w:t xml:space="preserve">  In particular, Petitioners argue that, despite the Commonwealth LNG terminal’s smaller size, </w:t>
      </w:r>
      <w:r>
        <w:t xml:space="preserve">the </w:t>
      </w:r>
      <w:r w:rsidRPr="001276F4">
        <w:t>Commonwealth LNG</w:t>
      </w:r>
      <w:r>
        <w:t xml:space="preserve"> terminal</w:t>
      </w:r>
      <w:r w:rsidRPr="001276F4">
        <w:t xml:space="preserve"> is predicted to emit a higher maximum 1-hour NO</w:t>
      </w:r>
      <w:r w:rsidRPr="001276F4">
        <w:rPr>
          <w:vertAlign w:val="subscript"/>
        </w:rPr>
        <w:t>2</w:t>
      </w:r>
      <w:r w:rsidRPr="001276F4">
        <w:t xml:space="preserve"> level than the CP2 LNG Project </w:t>
      </w:r>
      <w:r w:rsidRPr="001276F4">
        <w:rPr>
          <w:b/>
          <w:vertAlign w:val="superscript"/>
        </w:rPr>
        <w:footnoteReference w:id="247"/>
      </w:r>
      <w:r w:rsidRPr="001276F4">
        <w:t xml:space="preserve">  Petitioners also note, despite these lower emissions levels and the Commonwealth LNG terminal’s location only one</w:t>
      </w:r>
      <w:r w:rsidR="00C01DF6">
        <w:t>-</w:t>
      </w:r>
      <w:r w:rsidRPr="001276F4">
        <w:t xml:space="preserve">half mile from the CP2 LNG </w:t>
      </w:r>
      <w:r>
        <w:t>Project</w:t>
      </w:r>
      <w:r w:rsidRPr="001276F4">
        <w:t>, the Commission counterintuitively used a wider geographic scope for Commonwealth LNG, and failed to explain why a narrower scope is appropriate in this proceeding.</w:t>
      </w:r>
      <w:r w:rsidRPr="001276F4">
        <w:rPr>
          <w:b/>
          <w:vertAlign w:val="superscript"/>
        </w:rPr>
        <w:footnoteReference w:id="248"/>
      </w:r>
      <w:r w:rsidRPr="001276F4">
        <w:t xml:space="preserve">  </w:t>
      </w:r>
    </w:p>
    <w:p w14:paraId="0289C446" w14:textId="77777777" w:rsidR="00457673" w:rsidRDefault="00A07ED2" w:rsidP="00457673">
      <w:pPr>
        <w:pStyle w:val="FERCparanumber"/>
      </w:pPr>
      <w:r w:rsidRPr="00F776FD">
        <w:t>As discussed in the Projects’ final supplemental EIS and the Commonwealth LNG draft supplemental EIS, the conservative dispersion modeling indicated that the maximum NO</w:t>
      </w:r>
      <w:r w:rsidRPr="00F776FD">
        <w:rPr>
          <w:vertAlign w:val="subscript"/>
        </w:rPr>
        <w:t>2</w:t>
      </w:r>
      <w:r w:rsidRPr="00F776FD">
        <w:t xml:space="preserve"> emission impacts from the CP2 LNG Project and Commonwealth LNG facility are similar for both 1-hour NO</w:t>
      </w:r>
      <w:r w:rsidRPr="00F776FD">
        <w:rPr>
          <w:vertAlign w:val="subscript"/>
        </w:rPr>
        <w:t>2</w:t>
      </w:r>
      <w:r w:rsidRPr="00F776FD">
        <w:t xml:space="preserve"> and annual NO</w:t>
      </w:r>
      <w:r w:rsidRPr="00F776FD">
        <w:rPr>
          <w:vertAlign w:val="subscript"/>
        </w:rPr>
        <w:t>2</w:t>
      </w:r>
      <w:r w:rsidR="00B26EF7" w:rsidRPr="00F776FD">
        <w:t>.</w:t>
      </w:r>
      <w:r w:rsidR="00B26EF7" w:rsidRPr="00F776FD">
        <w:rPr>
          <w:rStyle w:val="FootnoteReference"/>
        </w:rPr>
        <w:footnoteReference w:id="249"/>
      </w:r>
      <w:r w:rsidR="00B26EF7" w:rsidRPr="00F776FD">
        <w:t xml:space="preserve">  The differences in the impacts are due to various factors in the air dispersion modeling including differences in emission rates, stack heights, variability in terrain near each facility, and other terminal-specific factors.</w:t>
      </w:r>
      <w:r w:rsidR="00B26EF7" w:rsidRPr="00F776FD">
        <w:rPr>
          <w:rStyle w:val="FootnoteReference"/>
        </w:rPr>
        <w:footnoteReference w:id="250"/>
      </w:r>
      <w:r w:rsidR="00B26EF7" w:rsidRPr="00F776FD">
        <w:t xml:space="preserve">  In addition, and as</w:t>
      </w:r>
      <w:r w:rsidR="00B26EF7">
        <w:t xml:space="preserve"> </w:t>
      </w:r>
      <w:r w:rsidR="00457673">
        <w:t xml:space="preserve">explained in the final EIS, because both Projects </w:t>
      </w:r>
      <w:r w:rsidR="00457673">
        <w:lastRenderedPageBreak/>
        <w:t xml:space="preserve">are subject to </w:t>
      </w:r>
      <w:r w:rsidR="00457673" w:rsidRPr="001D7027">
        <w:t xml:space="preserve">PSD review, the </w:t>
      </w:r>
      <w:r w:rsidR="00457673">
        <w:t>L</w:t>
      </w:r>
      <w:r w:rsidR="00457673" w:rsidRPr="001D7027">
        <w:t xml:space="preserve">DEQ air quality regulations stipulate that all construction permit applicants must evaluate and apply </w:t>
      </w:r>
      <w:r w:rsidR="00D040FF">
        <w:t>Best Available Control Technology (</w:t>
      </w:r>
      <w:r w:rsidR="00457673" w:rsidRPr="001D7027">
        <w:t>BACT</w:t>
      </w:r>
      <w:r w:rsidR="00D040FF">
        <w:t>)</w:t>
      </w:r>
      <w:r w:rsidR="00457673" w:rsidRPr="001D7027">
        <w:t xml:space="preserve"> for the stationary air emission sources</w:t>
      </w:r>
      <w:r w:rsidR="00457673">
        <w:t>.</w:t>
      </w:r>
      <w:r w:rsidR="00457673">
        <w:rPr>
          <w:rStyle w:val="FootnoteReference"/>
        </w:rPr>
        <w:footnoteReference w:id="251"/>
      </w:r>
      <w:r w:rsidR="00457673">
        <w:t xml:space="preserve">  </w:t>
      </w:r>
      <w:r w:rsidR="00457673" w:rsidRPr="00A26B52">
        <w:t>The natural gas-fired combustion turbines would be designed with Dry Low-NOx Combustors.</w:t>
      </w:r>
      <w:r w:rsidR="00457673">
        <w:rPr>
          <w:rStyle w:val="FootnoteReference"/>
        </w:rPr>
        <w:footnoteReference w:id="252"/>
      </w:r>
      <w:r w:rsidR="00457673">
        <w:t xml:space="preserve"> </w:t>
      </w:r>
      <w:r w:rsidR="00457673" w:rsidRPr="00A26B52">
        <w:t xml:space="preserve"> Additionally, for the combined cycle units, duct burners would be Low-NOx Burner design and the heat recovery steam generator exhaust would be ducted to a selective catalytic reduction system.</w:t>
      </w:r>
      <w:r w:rsidR="00457673">
        <w:rPr>
          <w:rStyle w:val="FootnoteReference"/>
        </w:rPr>
        <w:footnoteReference w:id="253"/>
      </w:r>
      <w:r w:rsidR="00457673">
        <w:t xml:space="preserve"> </w:t>
      </w:r>
      <w:r w:rsidR="00457673" w:rsidRPr="00A26B52">
        <w:t xml:space="preserve"> Also, for the aeroderivative simple cycle units, the exhaust would be ducted to a selective catalytic reduction system.</w:t>
      </w:r>
      <w:r w:rsidR="00457673">
        <w:rPr>
          <w:rStyle w:val="FootnoteReference"/>
        </w:rPr>
        <w:footnoteReference w:id="254"/>
      </w:r>
      <w:r w:rsidR="00457673">
        <w:t xml:space="preserve"> </w:t>
      </w:r>
      <w:r w:rsidR="00457673" w:rsidRPr="00A26B52">
        <w:t xml:space="preserve"> The combination of these measures would minimize NOx emissions from the combustion turbines.</w:t>
      </w:r>
      <w:r w:rsidR="00457673">
        <w:rPr>
          <w:rStyle w:val="FootnoteReference"/>
        </w:rPr>
        <w:footnoteReference w:id="255"/>
      </w:r>
      <w:r w:rsidR="00457673">
        <w:t xml:space="preserve">  </w:t>
      </w:r>
      <w:r w:rsidR="00457673" w:rsidRPr="00795078">
        <w:t xml:space="preserve">The hot oil heaters would </w:t>
      </w:r>
      <w:r w:rsidR="00457673">
        <w:t xml:space="preserve">also </w:t>
      </w:r>
      <w:r w:rsidR="00457673" w:rsidRPr="00795078">
        <w:t>be equipped with Ultra-Low-NOx Burner, which is considered BACT for NOx emissions from these units.</w:t>
      </w:r>
      <w:r w:rsidR="00457673">
        <w:rPr>
          <w:rStyle w:val="FootnoteReference"/>
        </w:rPr>
        <w:footnoteReference w:id="256"/>
      </w:r>
      <w:r w:rsidR="00457673">
        <w:t xml:space="preserve">  CP2 LNG will also include an acid gas removal unit that would treat the feed gas.</w:t>
      </w:r>
      <w:r w:rsidR="00457673">
        <w:rPr>
          <w:rStyle w:val="FootnoteReference"/>
        </w:rPr>
        <w:footnoteReference w:id="257"/>
      </w:r>
      <w:r w:rsidR="00457673">
        <w:t xml:space="preserve">  </w:t>
      </w:r>
      <w:r w:rsidR="00457673" w:rsidRPr="00BA62D6">
        <w:t>The acid gas thermal oxidizers would be equipped with Low-NOx Burner, which is considered BACT for NOx emissions from these units.</w:t>
      </w:r>
      <w:r w:rsidR="00457673">
        <w:rPr>
          <w:rStyle w:val="FootnoteReference"/>
        </w:rPr>
        <w:footnoteReference w:id="258"/>
      </w:r>
      <w:r w:rsidR="00457673">
        <w:t xml:space="preserve">  </w:t>
      </w:r>
      <w:r w:rsidR="006277AC">
        <w:t xml:space="preserve">The CP2 LNG Project has </w:t>
      </w:r>
      <w:r w:rsidR="00562436">
        <w:t>higher</w:t>
      </w:r>
      <w:r w:rsidR="006277AC">
        <w:t xml:space="preserve"> NOx emissions than Commonwealth LNG</w:t>
      </w:r>
      <w:r w:rsidR="00AB1EB0">
        <w:t>.</w:t>
      </w:r>
      <w:r w:rsidR="00690FEF">
        <w:rPr>
          <w:rStyle w:val="FootnoteReference"/>
        </w:rPr>
        <w:footnoteReference w:id="259"/>
      </w:r>
      <w:r w:rsidR="00563601">
        <w:t xml:space="preserve"> </w:t>
      </w:r>
      <w:r w:rsidR="003F137C">
        <w:t xml:space="preserve"> </w:t>
      </w:r>
      <w:r w:rsidR="00427498">
        <w:t>T</w:t>
      </w:r>
      <w:r w:rsidR="009C661D">
        <w:t>he</w:t>
      </w:r>
      <w:r w:rsidR="00427498">
        <w:t>se</w:t>
      </w:r>
      <w:r w:rsidR="009C661D">
        <w:t xml:space="preserve"> </w:t>
      </w:r>
      <w:r w:rsidR="00DB64D9">
        <w:t xml:space="preserve">mitigation </w:t>
      </w:r>
      <w:r w:rsidR="00A63BE2">
        <w:t>measures</w:t>
      </w:r>
      <w:r w:rsidR="00DB64D9">
        <w:t xml:space="preserve"> listed above reduce the NOx emissions from the much larger facility</w:t>
      </w:r>
      <w:r w:rsidR="00D47EFF">
        <w:t xml:space="preserve"> and in the absence of these reduction</w:t>
      </w:r>
      <w:r w:rsidR="00F077B9">
        <w:t xml:space="preserve"> techn</w:t>
      </w:r>
      <w:r w:rsidR="009702B9">
        <w:t>ologie</w:t>
      </w:r>
      <w:r w:rsidR="00D47EFF">
        <w:t>s, the NOx emissions would be much larger</w:t>
      </w:r>
      <w:r w:rsidR="007B61BA">
        <w:t xml:space="preserve">.  </w:t>
      </w:r>
      <w:r w:rsidR="009D2179">
        <w:t xml:space="preserve"> </w:t>
      </w:r>
    </w:p>
    <w:p w14:paraId="7A3B558B" w14:textId="77777777" w:rsidR="00457673" w:rsidRPr="001276F4" w:rsidRDefault="00457673" w:rsidP="00457673">
      <w:pPr>
        <w:pStyle w:val="FERCparanumber"/>
      </w:pPr>
      <w:r>
        <w:t xml:space="preserve">Moreover, </w:t>
      </w:r>
      <w:r w:rsidRPr="001276F4">
        <w:t>“</w:t>
      </w:r>
      <w:r>
        <w:t>[i]</w:t>
      </w:r>
      <w:r w:rsidRPr="001276F4">
        <w:t xml:space="preserve">n order to determine the scope of a cumulative impacts analysis for each project, the final EIS establishes a ‘geographic scope’ in which various resources may be affected by both a proposed project and other past, present, and reasonably </w:t>
      </w:r>
      <w:r w:rsidRPr="001276F4">
        <w:lastRenderedPageBreak/>
        <w:t>foreseeable future actions.”</w:t>
      </w:r>
      <w:r w:rsidRPr="001276F4">
        <w:rPr>
          <w:b/>
          <w:vertAlign w:val="superscript"/>
        </w:rPr>
        <w:footnoteReference w:id="260"/>
      </w:r>
      <w:r w:rsidRPr="001276F4">
        <w:t xml:space="preserve">  For operational emissions, the Commission used the distance used by the EPA and the </w:t>
      </w:r>
      <w:r>
        <w:t>L</w:t>
      </w:r>
      <w:r w:rsidRPr="001276F4">
        <w:t>DEQ for cumulative modeling of major sources for the PSD permitting.</w:t>
      </w:r>
      <w:r w:rsidRPr="001276F4">
        <w:rPr>
          <w:b/>
          <w:vertAlign w:val="superscript"/>
        </w:rPr>
        <w:footnoteReference w:id="261"/>
      </w:r>
      <w:r w:rsidRPr="001276F4">
        <w:t xml:space="preserve">  Accordingly, the geographic scope for operation</w:t>
      </w:r>
      <w:r w:rsidR="0092439F">
        <w:t>al</w:t>
      </w:r>
      <w:r w:rsidRPr="001276F4">
        <w:t xml:space="preserve"> emissions </w:t>
      </w:r>
      <w:r w:rsidR="00F0345C">
        <w:t>from the Moss Lake Compressor Station was</w:t>
      </w:r>
      <w:r w:rsidRPr="001276F4" w:rsidDel="000A3BFC">
        <w:t xml:space="preserve"> </w:t>
      </w:r>
      <w:r w:rsidRPr="001276F4">
        <w:t>set at 2</w:t>
      </w:r>
      <w:r w:rsidR="00E345DA">
        <w:t>1.4</w:t>
      </w:r>
      <w:r w:rsidRPr="001276F4">
        <w:t xml:space="preserve"> </w:t>
      </w:r>
      <w:r w:rsidR="000A467B">
        <w:t>km</w:t>
      </w:r>
      <w:r w:rsidRPr="001276F4">
        <w:t>.</w:t>
      </w:r>
      <w:r w:rsidRPr="001276F4">
        <w:rPr>
          <w:b/>
          <w:vertAlign w:val="superscript"/>
        </w:rPr>
        <w:footnoteReference w:id="262"/>
      </w:r>
      <w:r w:rsidRPr="001276F4">
        <w:t xml:space="preserve">  </w:t>
      </w:r>
      <w:r w:rsidR="00BE3B49">
        <w:t xml:space="preserve">We note, however, that because </w:t>
      </w:r>
      <w:r w:rsidR="00EC67FF">
        <w:t>a cumulative impact analysis</w:t>
      </w:r>
      <w:r w:rsidRPr="001276F4" w:rsidDel="00640F84">
        <w:t xml:space="preserve"> for the </w:t>
      </w:r>
      <w:r w:rsidR="00EC67FF">
        <w:t>Moss Lake Compressor Station was not required,</w:t>
      </w:r>
      <w:r w:rsidR="00A716A5">
        <w:t xml:space="preserve"> there is no </w:t>
      </w:r>
      <w:r w:rsidR="00FF3E33">
        <w:t xml:space="preserve">set </w:t>
      </w:r>
      <w:r w:rsidR="00A716A5">
        <w:t>geographic scope for operation</w:t>
      </w:r>
      <w:r w:rsidR="0092439F">
        <w:t>al</w:t>
      </w:r>
      <w:r w:rsidR="00A716A5">
        <w:t xml:space="preserve"> emissions </w:t>
      </w:r>
      <w:r w:rsidR="00FF3E33">
        <w:t>in the final supplemental EIS.</w:t>
      </w:r>
    </w:p>
    <w:p w14:paraId="514DA477" w14:textId="77777777" w:rsidR="00457673" w:rsidRPr="001276F4" w:rsidRDefault="00457673" w:rsidP="00457673">
      <w:pPr>
        <w:pStyle w:val="FERCparanumber"/>
      </w:pPr>
      <w:r w:rsidRPr="001276F4">
        <w:t>The largest geographic scope for the CP2 LNG Project, based on the results of the 1-hour NO</w:t>
      </w:r>
      <w:r w:rsidRPr="001276F4">
        <w:rPr>
          <w:vertAlign w:val="subscript"/>
        </w:rPr>
        <w:t>2</w:t>
      </w:r>
      <w:r w:rsidRPr="001276F4">
        <w:t xml:space="preserve"> significant impact analysis plus 20 km, is 43.7 km.</w:t>
      </w:r>
      <w:r w:rsidRPr="001276F4">
        <w:rPr>
          <w:b/>
          <w:vertAlign w:val="superscript"/>
        </w:rPr>
        <w:footnoteReference w:id="263"/>
      </w:r>
      <w:r w:rsidRPr="001276F4">
        <w:t xml:space="preserve">  Impacts on air quality from projects beyond the geographic scope are not expected to significantly contribute to a cumulative impact that includes specific project impacts.  </w:t>
      </w:r>
      <w:r w:rsidR="001B4627" w:rsidRPr="001B4627">
        <w:t>For Commonwealth LNG, the area of impact was established as the distance from th</w:t>
      </w:r>
      <w:r w:rsidR="001B4627">
        <w:t xml:space="preserve">at project </w:t>
      </w:r>
      <w:r w:rsidR="001B4627" w:rsidRPr="001B4627">
        <w:t xml:space="preserve">to the farthest receptor that showed a modeled impact greater than the SIL in the significance modeling analysis plus 15 </w:t>
      </w:r>
      <w:r w:rsidR="00A23F2A">
        <w:t>km</w:t>
      </w:r>
      <w:r w:rsidR="00A23F2A" w:rsidRPr="001B4627">
        <w:t xml:space="preserve"> </w:t>
      </w:r>
      <w:r w:rsidR="001B4627" w:rsidRPr="001B4627">
        <w:t xml:space="preserve">for all sources and plus 20 km for all major sources. </w:t>
      </w:r>
      <w:r w:rsidR="5F2F118D" w:rsidRPr="001B4627">
        <w:t>The differences in geographic scope and the resulting list of industrial sources to be included in the model</w:t>
      </w:r>
      <w:r w:rsidR="001B4627">
        <w:t xml:space="preserve"> </w:t>
      </w:r>
      <w:r w:rsidR="5F2F118D" w:rsidRPr="001B4627">
        <w:t>is specific to eac</w:t>
      </w:r>
      <w:r w:rsidR="76EBF697" w:rsidRPr="001B4627">
        <w:t>h facility and is based upon the facility</w:t>
      </w:r>
      <w:r w:rsidR="008B2800">
        <w:t>-</w:t>
      </w:r>
      <w:r w:rsidR="76EBF697" w:rsidRPr="001B4627">
        <w:t>only air quality dispersion modeling.</w:t>
      </w:r>
      <w:r w:rsidRPr="001276F4">
        <w:rPr>
          <w:b/>
          <w:vertAlign w:val="superscript"/>
        </w:rPr>
        <w:footnoteReference w:id="264"/>
      </w:r>
    </w:p>
    <w:p w14:paraId="2AAB5A73" w14:textId="77777777" w:rsidR="00457673" w:rsidRPr="001276F4" w:rsidRDefault="00457673" w:rsidP="00457673">
      <w:pPr>
        <w:pStyle w:val="FERCparanumber"/>
      </w:pPr>
      <w:r w:rsidRPr="001276F4">
        <w:t>The Commission considers each application on a case-by-case basis.</w:t>
      </w:r>
      <w:r w:rsidRPr="001276F4">
        <w:rPr>
          <w:b/>
          <w:vertAlign w:val="superscript"/>
        </w:rPr>
        <w:footnoteReference w:id="265"/>
      </w:r>
      <w:r w:rsidRPr="001276F4">
        <w:t xml:space="preserve">  The scope of the Commission’s cumulative impacts analysis will vary from case to case, depending </w:t>
      </w:r>
      <w:r w:rsidRPr="001276F4">
        <w:lastRenderedPageBreak/>
        <w:t>on the facts presented.</w:t>
      </w:r>
      <w:r w:rsidRPr="001276F4">
        <w:rPr>
          <w:b/>
          <w:vertAlign w:val="superscript"/>
        </w:rPr>
        <w:footnoteReference w:id="266"/>
      </w:r>
      <w:r w:rsidRPr="001276F4">
        <w:t xml:space="preserve">  The determination of the extent and effect of cumulative impacts, and particularly the identification of the geographic area within which they may occur, “is a task assigned to the special competency of the appropriate agencies.”</w:t>
      </w:r>
      <w:r w:rsidRPr="001276F4">
        <w:rPr>
          <w:b/>
          <w:vertAlign w:val="superscript"/>
        </w:rPr>
        <w:footnoteReference w:id="267"/>
      </w:r>
      <w:r w:rsidRPr="001276F4">
        <w:t xml:space="preserve">  Here, the Commission appropriately used the modeling submitted to the </w:t>
      </w:r>
      <w:r>
        <w:t>L</w:t>
      </w:r>
      <w:r w:rsidRPr="001276F4">
        <w:t>DEQ in establishing the appropriate geographic scope for the Projects.</w:t>
      </w:r>
      <w:r w:rsidR="00942CAE" w:rsidRPr="001276F4">
        <w:rPr>
          <w:b/>
          <w:vertAlign w:val="superscript"/>
        </w:rPr>
        <w:footnoteReference w:id="268"/>
      </w:r>
      <w:r w:rsidR="00942CAE" w:rsidRPr="001276F4">
        <w:t xml:space="preserve">  </w:t>
      </w:r>
      <w:r w:rsidRPr="001276F4">
        <w:t xml:space="preserve">The final </w:t>
      </w:r>
      <w:r w:rsidR="00974DA6">
        <w:t xml:space="preserve">EIS and </w:t>
      </w:r>
      <w:r w:rsidRPr="001276F4">
        <w:t xml:space="preserve">final </w:t>
      </w:r>
      <w:r>
        <w:t>supplemental EIS</w:t>
      </w:r>
      <w:r w:rsidRPr="001276F4">
        <w:t xml:space="preserve"> conclude, and we agree, that the potential impacts of the Projects, when combined with the impacts from the other projects considered in the geographic scopes, would not result in a significant impact on resources.</w:t>
      </w:r>
      <w:r w:rsidRPr="001276F4">
        <w:rPr>
          <w:b/>
          <w:vertAlign w:val="superscript"/>
        </w:rPr>
        <w:footnoteReference w:id="269"/>
      </w:r>
    </w:p>
    <w:p w14:paraId="0AB9B2DD" w14:textId="77777777" w:rsidR="00457673" w:rsidRPr="001276F4" w:rsidRDefault="005D2964" w:rsidP="00457673">
      <w:pPr>
        <w:pStyle w:val="FERCparanumber"/>
      </w:pPr>
      <w:r>
        <w:t>Last, we note that</w:t>
      </w:r>
      <w:r w:rsidR="00457673" w:rsidRPr="001276F4">
        <w:t xml:space="preserve"> in response to several comments </w:t>
      </w:r>
      <w:r w:rsidR="007711AB">
        <w:t xml:space="preserve">on the draft EIS </w:t>
      </w:r>
      <w:r w:rsidR="00457673" w:rsidRPr="001276F4">
        <w:t xml:space="preserve">questioning why certain projects included in the Commonwealth LNG cumulative impact table were not included in the </w:t>
      </w:r>
      <w:r w:rsidR="007711AB">
        <w:t>draft</w:t>
      </w:r>
      <w:r w:rsidR="00457673" w:rsidRPr="001276F4">
        <w:t xml:space="preserve"> EIS for the Projects, Commission </w:t>
      </w:r>
      <w:r w:rsidR="00FA1FB6">
        <w:t>staff</w:t>
      </w:r>
      <w:r w:rsidR="00457673" w:rsidRPr="001276F4">
        <w:t xml:space="preserve"> </w:t>
      </w:r>
      <w:r w:rsidR="007754FD">
        <w:t xml:space="preserve">determined </w:t>
      </w:r>
      <w:r w:rsidR="00D35486">
        <w:t xml:space="preserve">in the final EIS </w:t>
      </w:r>
      <w:r w:rsidR="007754FD">
        <w:t>that</w:t>
      </w:r>
      <w:r w:rsidR="0078691C">
        <w:t xml:space="preserve"> three</w:t>
      </w:r>
      <w:r w:rsidR="008C0E97">
        <w:t xml:space="preserve"> additional</w:t>
      </w:r>
      <w:r w:rsidR="0063158E">
        <w:t xml:space="preserve"> residential </w:t>
      </w:r>
      <w:r w:rsidR="00DD3BBE">
        <w:t>subdivision projects</w:t>
      </w:r>
      <w:r w:rsidR="00455295">
        <w:t xml:space="preserve"> </w:t>
      </w:r>
      <w:r w:rsidR="00530407">
        <w:t xml:space="preserve">that were </w:t>
      </w:r>
      <w:r w:rsidR="0082084A">
        <w:t>included in</w:t>
      </w:r>
      <w:r w:rsidR="00530407">
        <w:t xml:space="preserve"> </w:t>
      </w:r>
      <w:r w:rsidR="00C173A1">
        <w:t>the Commonwealth LNG</w:t>
      </w:r>
      <w:r w:rsidR="00530407">
        <w:t xml:space="preserve"> </w:t>
      </w:r>
      <w:r w:rsidR="00432490">
        <w:t xml:space="preserve">cumulative impact table </w:t>
      </w:r>
      <w:r w:rsidR="00D35486">
        <w:t xml:space="preserve">should </w:t>
      </w:r>
      <w:r w:rsidR="00A20AC3">
        <w:t xml:space="preserve">be included </w:t>
      </w:r>
      <w:r w:rsidR="003D4ABE">
        <w:t>in the Projects</w:t>
      </w:r>
      <w:r w:rsidR="005E652A">
        <w:t>’ geographic scope as well</w:t>
      </w:r>
      <w:r w:rsidR="00457673" w:rsidRPr="001276F4">
        <w:t>.</w:t>
      </w:r>
      <w:r w:rsidR="00457673" w:rsidRPr="001276F4">
        <w:rPr>
          <w:b/>
          <w:vertAlign w:val="superscript"/>
        </w:rPr>
        <w:footnoteReference w:id="270"/>
      </w:r>
      <w:r w:rsidR="00457673" w:rsidRPr="001276F4">
        <w:t xml:space="preserve">  Importantly, the final EIS </w:t>
      </w:r>
      <w:r w:rsidR="000170CE">
        <w:t xml:space="preserve">did not identify </w:t>
      </w:r>
      <w:r w:rsidR="00C1448D">
        <w:t>any other</w:t>
      </w:r>
      <w:r w:rsidR="0041527E">
        <w:t xml:space="preserve"> </w:t>
      </w:r>
      <w:r w:rsidR="00457673" w:rsidRPr="001276F4">
        <w:t xml:space="preserve">projects identified in the Commonwealth LNG project that were within the same geographic </w:t>
      </w:r>
      <w:r w:rsidR="00457673" w:rsidRPr="001276F4">
        <w:lastRenderedPageBreak/>
        <w:t>scope as the Projects.</w:t>
      </w:r>
      <w:r w:rsidR="00457673" w:rsidRPr="001276F4">
        <w:rPr>
          <w:b/>
          <w:vertAlign w:val="superscript"/>
        </w:rPr>
        <w:footnoteReference w:id="271"/>
      </w:r>
      <w:r w:rsidR="00457673" w:rsidRPr="001276F4">
        <w:t xml:space="preserve">  Accordingly, the Commission adequately addressed Petitioners</w:t>
      </w:r>
      <w:r w:rsidR="00FA1FB6">
        <w:t>’</w:t>
      </w:r>
      <w:r w:rsidR="00457673" w:rsidRPr="001276F4">
        <w:t xml:space="preserve"> </w:t>
      </w:r>
      <w:r w:rsidR="002653CF">
        <w:t xml:space="preserve">assertions that </w:t>
      </w:r>
      <w:r w:rsidR="001F6E08">
        <w:t xml:space="preserve">the </w:t>
      </w:r>
      <w:r w:rsidR="00A9268E">
        <w:t>Commission failed to include</w:t>
      </w:r>
      <w:r w:rsidR="007A3277">
        <w:t xml:space="preserve"> similar projects </w:t>
      </w:r>
      <w:r w:rsidR="004322E3">
        <w:t xml:space="preserve">that were included in </w:t>
      </w:r>
      <w:r w:rsidR="007A3277">
        <w:t xml:space="preserve">the Commonwealth LNG </w:t>
      </w:r>
      <w:r w:rsidR="004322E3">
        <w:t>project’s EIS</w:t>
      </w:r>
      <w:r w:rsidR="00457673" w:rsidRPr="001276F4">
        <w:t>.</w:t>
      </w:r>
    </w:p>
    <w:p w14:paraId="110F8DE6" w14:textId="77777777" w:rsidR="00A351F2" w:rsidRDefault="00932483" w:rsidP="005E77EB">
      <w:pPr>
        <w:pStyle w:val="Heading2"/>
      </w:pPr>
      <w:r>
        <w:t>Additional Air Arguments</w:t>
      </w:r>
    </w:p>
    <w:p w14:paraId="1CC35A38" w14:textId="77777777" w:rsidR="001276F4" w:rsidRPr="001276F4" w:rsidRDefault="001276F4" w:rsidP="004813CE">
      <w:pPr>
        <w:pStyle w:val="Heading3"/>
      </w:pPr>
      <w:r w:rsidRPr="001276F4">
        <w:t xml:space="preserve">NAAQS Is </w:t>
      </w:r>
      <w:r w:rsidR="00936E08">
        <w:t>an</w:t>
      </w:r>
      <w:r w:rsidR="00206BBF">
        <w:t xml:space="preserve"> </w:t>
      </w:r>
      <w:r w:rsidRPr="001276F4">
        <w:t>Appropriate Standard for Evaluating Health Impacts</w:t>
      </w:r>
    </w:p>
    <w:p w14:paraId="0D68C986" w14:textId="77777777" w:rsidR="001276F4" w:rsidRPr="001276F4" w:rsidRDefault="001276F4" w:rsidP="001276F4">
      <w:pPr>
        <w:pStyle w:val="FERCparanumber"/>
      </w:pPr>
      <w:r w:rsidRPr="001276F4">
        <w:t xml:space="preserve">Petitioners argue that the NAAQS are not a good measure for </w:t>
      </w:r>
      <w:r w:rsidR="00924AC1">
        <w:t xml:space="preserve">the </w:t>
      </w:r>
      <w:r w:rsidRPr="001276F4">
        <w:t>health impacts</w:t>
      </w:r>
      <w:r w:rsidR="00924AC1">
        <w:t xml:space="preserve"> </w:t>
      </w:r>
      <w:r w:rsidR="00C667DE">
        <w:t>to communities</w:t>
      </w:r>
      <w:r w:rsidR="0059747A">
        <w:t>, including environmental justice communities</w:t>
      </w:r>
      <w:r w:rsidRPr="001276F4">
        <w:t>,</w:t>
      </w:r>
      <w:r w:rsidR="00C667DE">
        <w:rPr>
          <w:rStyle w:val="FootnoteReference"/>
        </w:rPr>
        <w:footnoteReference w:id="272"/>
      </w:r>
      <w:r w:rsidRPr="001276F4">
        <w:t xml:space="preserve"> that adding NO</w:t>
      </w:r>
      <w:r w:rsidRPr="001276F4">
        <w:rPr>
          <w:vertAlign w:val="subscript"/>
        </w:rPr>
        <w:t>2</w:t>
      </w:r>
      <w:r w:rsidRPr="001276F4">
        <w:t xml:space="preserve"> to already unhealthy levels is a problem, and that further analysis from the Commission is required.</w:t>
      </w:r>
      <w:r w:rsidRPr="001276F4">
        <w:rPr>
          <w:b/>
          <w:vertAlign w:val="superscript"/>
        </w:rPr>
        <w:footnoteReference w:id="273"/>
      </w:r>
      <w:r w:rsidRPr="001276F4">
        <w:t xml:space="preserve">  Petitioners maintain that living near fossil fuel and chemical facilities is linked to higher rates of respiratory and cardiovascular diseases and that existing infrastructure has already exposed residents to high levels of toxic and carcinogenic emissions in excess of permitted levels.</w:t>
      </w:r>
      <w:r w:rsidRPr="001276F4">
        <w:rPr>
          <w:b/>
          <w:vertAlign w:val="superscript"/>
        </w:rPr>
        <w:footnoteReference w:id="274"/>
      </w:r>
    </w:p>
    <w:p w14:paraId="0807CF7B" w14:textId="77777777" w:rsidR="001276F4" w:rsidRPr="001276F4" w:rsidRDefault="001276F4" w:rsidP="001276F4">
      <w:pPr>
        <w:pStyle w:val="FERCparanumber"/>
      </w:pPr>
      <w:r w:rsidRPr="001276F4">
        <w:t xml:space="preserve"> The final EIS </w:t>
      </w:r>
      <w:r w:rsidR="00805640">
        <w:t xml:space="preserve">and final supplemental EIS </w:t>
      </w:r>
      <w:r w:rsidRPr="001276F4">
        <w:t>recognized combustion of fossil fuels (e.g., natural gas) produces air pollutants (e.g., NOx, CO, SO</w:t>
      </w:r>
      <w:r w:rsidRPr="001276F4">
        <w:rPr>
          <w:vertAlign w:val="subscript"/>
        </w:rPr>
        <w:t>2</w:t>
      </w:r>
      <w:r w:rsidRPr="001276F4">
        <w:t>, and inhalable particulate matter (PM</w:t>
      </w:r>
      <w:r w:rsidRPr="001276F4">
        <w:rPr>
          <w:vertAlign w:val="subscript"/>
        </w:rPr>
        <w:t>2.5</w:t>
      </w:r>
      <w:r w:rsidRPr="001276F4">
        <w:t xml:space="preserve"> and PM</w:t>
      </w:r>
      <w:r w:rsidRPr="001276F4">
        <w:rPr>
          <w:vertAlign w:val="subscript"/>
        </w:rPr>
        <w:t>10</w:t>
      </w:r>
      <w:r w:rsidRPr="001276F4">
        <w:t>)).</w:t>
      </w:r>
      <w:r w:rsidRPr="001276F4">
        <w:rPr>
          <w:b/>
          <w:vertAlign w:val="superscript"/>
        </w:rPr>
        <w:footnoteReference w:id="275"/>
      </w:r>
      <w:r w:rsidRPr="001276F4">
        <w:t xml:space="preserve">  Combustion of fossil fuels also produces </w:t>
      </w:r>
      <w:r w:rsidR="00D24B5B">
        <w:t>volatile organic compounds (</w:t>
      </w:r>
      <w:r w:rsidRPr="001276F4">
        <w:t>VOCs</w:t>
      </w:r>
      <w:r w:rsidR="00D24B5B">
        <w:t>)</w:t>
      </w:r>
      <w:r w:rsidRPr="001276F4">
        <w:t>, a large group of organic chemicals that have a high vapor pressure at room temperature.</w:t>
      </w:r>
      <w:r w:rsidRPr="001276F4">
        <w:rPr>
          <w:b/>
          <w:vertAlign w:val="superscript"/>
        </w:rPr>
        <w:footnoteReference w:id="276"/>
      </w:r>
      <w:r w:rsidRPr="001276F4">
        <w:t xml:space="preserve">  VOCs react with NOx, typically on warm summer days, to form </w:t>
      </w:r>
      <w:r w:rsidRPr="001276F4">
        <w:lastRenderedPageBreak/>
        <w:t>ozone.</w:t>
      </w:r>
      <w:r w:rsidRPr="001276F4">
        <w:rPr>
          <w:b/>
          <w:vertAlign w:val="superscript"/>
        </w:rPr>
        <w:footnoteReference w:id="277"/>
      </w:r>
      <w:r w:rsidRPr="001276F4">
        <w:t xml:space="preserve">  Other byproducts of combustion are GHGs and hazardous air pollutants (HAPs).</w:t>
      </w:r>
      <w:r w:rsidRPr="001276F4">
        <w:rPr>
          <w:b/>
          <w:vertAlign w:val="superscript"/>
        </w:rPr>
        <w:footnoteReference w:id="278"/>
      </w:r>
      <w:r w:rsidRPr="001276F4">
        <w:t xml:space="preserve">  HAPs are chemicals known to cause cancer and other serious health impacts.</w:t>
      </w:r>
      <w:r w:rsidRPr="001276F4">
        <w:rPr>
          <w:b/>
          <w:vertAlign w:val="superscript"/>
        </w:rPr>
        <w:footnoteReference w:id="279"/>
      </w:r>
    </w:p>
    <w:p w14:paraId="2EAF6532" w14:textId="77777777" w:rsidR="003B73C8" w:rsidRPr="001276F4" w:rsidRDefault="003A6FC2" w:rsidP="007C718B">
      <w:pPr>
        <w:pStyle w:val="FERCparanumber"/>
      </w:pPr>
      <w:r>
        <w:t xml:space="preserve">The Commission appropriately relied on the NAAQS.  </w:t>
      </w:r>
      <w:r w:rsidR="001276F4" w:rsidRPr="001276F4">
        <w:t>The EPA developed the NAAQS to protect human health, including the health of sensitive populations (e.g., people with asthma or cardiovascular disease, children, the elderly, and others), accounting for the latest research on health impacts.</w:t>
      </w:r>
      <w:r w:rsidR="001276F4" w:rsidRPr="001276F4">
        <w:rPr>
          <w:b/>
          <w:vertAlign w:val="superscript"/>
        </w:rPr>
        <w:footnoteReference w:id="280"/>
      </w:r>
      <w:r w:rsidR="001276F4" w:rsidRPr="001276F4">
        <w:t xml:space="preserve">  EPA has also established multiple standards for different pollutants to address both long-term chronic exposure and </w:t>
      </w:r>
      <w:r w:rsidR="00781601">
        <w:t xml:space="preserve">      </w:t>
      </w:r>
      <w:r w:rsidR="001276F4" w:rsidRPr="001276F4">
        <w:t>short-term exposure, as well as standards for HAP emissions for specific source categories under the CAA.</w:t>
      </w:r>
      <w:r w:rsidR="001276F4" w:rsidRPr="001276F4">
        <w:rPr>
          <w:b/>
          <w:vertAlign w:val="superscript"/>
        </w:rPr>
        <w:footnoteReference w:id="281"/>
      </w:r>
      <w:r w:rsidR="001276F4" w:rsidRPr="001276F4">
        <w:t xml:space="preserve">  </w:t>
      </w:r>
      <w:r w:rsidR="009F4282" w:rsidRPr="001276F4">
        <w:t>The EPA concluded in its risk-based analysis that the NAAQS are appropriate and designed to ensure public safety by setting acceptable concentration limits that minimize health risks and to protect sensitive populations, such as at-risk populations of people with asthma, older adults, and children.</w:t>
      </w:r>
      <w:r w:rsidR="009F4282" w:rsidRPr="001276F4">
        <w:rPr>
          <w:b/>
          <w:vertAlign w:val="superscript"/>
        </w:rPr>
        <w:footnoteReference w:id="282"/>
      </w:r>
      <w:r w:rsidR="009F4282" w:rsidRPr="001276F4">
        <w:t xml:space="preserve">  The CAA requires the EPA to periodically review the NAAQS and the data used to develop the standards.</w:t>
      </w:r>
      <w:r w:rsidR="009F4282" w:rsidRPr="001276F4">
        <w:rPr>
          <w:b/>
          <w:vertAlign w:val="superscript"/>
        </w:rPr>
        <w:footnoteReference w:id="283"/>
      </w:r>
      <w:r w:rsidR="009F4282" w:rsidRPr="001276F4">
        <w:t xml:space="preserve">  In performing this periodic review, the EPA develops Integrated Science Assessments and Risk/Exposure Assessments, which consider the relevant science and risks to human health, to establish short-term and long-term NAAQS.</w:t>
      </w:r>
      <w:r w:rsidR="009F4282" w:rsidRPr="001276F4">
        <w:rPr>
          <w:b/>
          <w:vertAlign w:val="superscript"/>
        </w:rPr>
        <w:footnoteReference w:id="284"/>
      </w:r>
      <w:r w:rsidR="009F4282" w:rsidRPr="001276F4">
        <w:t xml:space="preserve">  </w:t>
      </w:r>
      <w:r w:rsidR="00D07F6E">
        <w:t xml:space="preserve">The </w:t>
      </w:r>
      <w:r w:rsidR="00AE0F16">
        <w:t>L</w:t>
      </w:r>
      <w:r w:rsidR="0017631B">
        <w:t>DEQ has adopted the federal NAAQS for criteria pollutants.</w:t>
      </w:r>
      <w:r w:rsidR="0017631B">
        <w:rPr>
          <w:rStyle w:val="FootnoteReference"/>
        </w:rPr>
        <w:footnoteReference w:id="285"/>
      </w:r>
      <w:r w:rsidR="0017631B">
        <w:t xml:space="preserve">  </w:t>
      </w:r>
    </w:p>
    <w:p w14:paraId="19C9FBE5" w14:textId="77777777" w:rsidR="00912159" w:rsidRDefault="00912159" w:rsidP="00912159">
      <w:pPr>
        <w:pStyle w:val="FERCparanumber"/>
      </w:pPr>
      <w:r>
        <w:lastRenderedPageBreak/>
        <w:t>T</w:t>
      </w:r>
      <w:r w:rsidR="001276F4" w:rsidRPr="001276F4">
        <w:t xml:space="preserve">he final EIS </w:t>
      </w:r>
      <w:r w:rsidR="000B2F07">
        <w:t xml:space="preserve">and final supplemental EIS </w:t>
      </w:r>
      <w:r w:rsidR="001276F4" w:rsidRPr="001276F4">
        <w:t xml:space="preserve">found </w:t>
      </w:r>
      <w:r w:rsidR="005303BB">
        <w:t>that the Project</w:t>
      </w:r>
      <w:r w:rsidR="00DB7938">
        <w:t>s</w:t>
      </w:r>
      <w:r w:rsidR="005303BB">
        <w:t xml:space="preserve"> would not cause or contribute to a NAAQS exceedance because they are either below the applicable SILs (in the case of the Moss Lake Compressor Station) or the cumulative air modeling shows no NAAQS exceedances for criteria pollutants (in the case of the CP2 LNG Project) and, </w:t>
      </w:r>
      <w:r w:rsidR="001276F4" w:rsidRPr="001276F4">
        <w:t>therefore, would not result in significant impacts on air quality.</w:t>
      </w:r>
      <w:r w:rsidR="001276F4" w:rsidRPr="001276F4">
        <w:rPr>
          <w:b/>
          <w:vertAlign w:val="superscript"/>
        </w:rPr>
        <w:footnoteReference w:id="286"/>
      </w:r>
      <w:r w:rsidR="001276F4" w:rsidRPr="001276F4">
        <w:t xml:space="preserve">  </w:t>
      </w:r>
      <w:r w:rsidRPr="001276F4">
        <w:t>Agencies have discretion to choose their methodology for analyzing environmental effects,</w:t>
      </w:r>
      <w:r w:rsidRPr="001276F4">
        <w:rPr>
          <w:b/>
          <w:vertAlign w:val="superscript"/>
        </w:rPr>
        <w:footnoteReference w:id="287"/>
      </w:r>
      <w:r w:rsidRPr="001276F4">
        <w:t xml:space="preserve"> and courts have accepted comparison to the NAAQS as a methodology for analyzing effects on air quality under NEPA.</w:t>
      </w:r>
      <w:r w:rsidRPr="001276F4">
        <w:rPr>
          <w:b/>
          <w:vertAlign w:val="superscript"/>
        </w:rPr>
        <w:footnoteReference w:id="288"/>
      </w:r>
      <w:r w:rsidRPr="001276F4">
        <w:t xml:space="preserve">  In </w:t>
      </w:r>
      <w:r w:rsidRPr="001276F4">
        <w:rPr>
          <w:i/>
          <w:iCs/>
        </w:rPr>
        <w:t>Sabal Trail</w:t>
      </w:r>
      <w:r w:rsidRPr="001276F4">
        <w:t>, the court stated that “[the Commission] appropriately relied on EPA’s [NAAQS] as a standard of comparison for air-quality impacts,” and “[b]y presenting the project’s expected emissions levels and the NAAQS standards side-by-side, the EIS enabled decisionmakers and the public to meaningfully evaluate the project’s air-pollution effects by reference to a generally accepted standard.”</w:t>
      </w:r>
      <w:r w:rsidRPr="001276F4">
        <w:rPr>
          <w:b/>
          <w:vertAlign w:val="superscript"/>
        </w:rPr>
        <w:footnoteReference w:id="289"/>
      </w:r>
      <w:r w:rsidRPr="001276F4">
        <w:t xml:space="preserve">  </w:t>
      </w:r>
      <w:r w:rsidR="007C1F96">
        <w:t>Accordingly, t</w:t>
      </w:r>
      <w:r w:rsidR="00AC5440">
        <w:t>he Commission</w:t>
      </w:r>
      <w:r w:rsidR="00F00A46">
        <w:t xml:space="preserve"> appropriately relies on the </w:t>
      </w:r>
      <w:r w:rsidR="00AC2C56" w:rsidRPr="00AC2C56">
        <w:t xml:space="preserve">standards set by administrative bodies </w:t>
      </w:r>
      <w:r w:rsidR="00F00A46">
        <w:t>in performing its NEPA review.</w:t>
      </w:r>
      <w:r w:rsidR="00AC2C56">
        <w:rPr>
          <w:rStyle w:val="FootnoteReference"/>
        </w:rPr>
        <w:footnoteReference w:id="290"/>
      </w:r>
    </w:p>
    <w:p w14:paraId="74D133AA" w14:textId="77777777" w:rsidR="001276F4" w:rsidRDefault="00E76EA5" w:rsidP="001276F4">
      <w:pPr>
        <w:pStyle w:val="FERCparanumber"/>
      </w:pPr>
      <w:r>
        <w:t>Nevertheless, Venture Global has</w:t>
      </w:r>
      <w:r w:rsidRPr="00E76EA5">
        <w:t xml:space="preserve"> committed to </w:t>
      </w:r>
      <w:r>
        <w:t xml:space="preserve">air quality </w:t>
      </w:r>
      <w:r w:rsidRPr="00E76EA5">
        <w:t xml:space="preserve">mitigation measures across the </w:t>
      </w:r>
      <w:r>
        <w:t>p</w:t>
      </w:r>
      <w:r w:rsidRPr="00E76EA5">
        <w:t>roject area</w:t>
      </w:r>
      <w:r w:rsidR="00887FEF">
        <w:t xml:space="preserve"> and surrounding communities</w:t>
      </w:r>
      <w:r w:rsidRPr="00E76EA5">
        <w:t>.</w:t>
      </w:r>
      <w:r w:rsidRPr="00E76EA5">
        <w:rPr>
          <w:b/>
          <w:vertAlign w:val="superscript"/>
        </w:rPr>
        <w:footnoteReference w:id="291"/>
      </w:r>
      <w:r w:rsidRPr="00E76EA5">
        <w:t xml:space="preserve">  These mitigation measures include implementation of a Traffic, Noxious Weeds, and Fugitive Dust Control Plan</w:t>
      </w:r>
      <w:r w:rsidR="00520D14">
        <w:t xml:space="preserve"> and</w:t>
      </w:r>
      <w:r w:rsidRPr="00E76EA5">
        <w:t xml:space="preserve"> complying with applicable air quality regulations, among other measures.</w:t>
      </w:r>
      <w:r w:rsidRPr="00E76EA5">
        <w:rPr>
          <w:b/>
          <w:vertAlign w:val="superscript"/>
        </w:rPr>
        <w:footnoteReference w:id="292"/>
      </w:r>
      <w:r w:rsidRPr="00E76EA5">
        <w:t xml:space="preserve">  </w:t>
      </w:r>
      <w:r w:rsidR="001276F4" w:rsidRPr="001276F4">
        <w:t xml:space="preserve">Moreover, as discussed below, the Commission followed EPA’s </w:t>
      </w:r>
      <w:r w:rsidR="001276F4" w:rsidRPr="001276F4">
        <w:rPr>
          <w:i/>
          <w:iCs/>
        </w:rPr>
        <w:t xml:space="preserve">Human Health Risk Assessment </w:t>
      </w:r>
      <w:r w:rsidR="001276F4" w:rsidRPr="001276F4">
        <w:rPr>
          <w:i/>
          <w:iCs/>
        </w:rPr>
        <w:lastRenderedPageBreak/>
        <w:t>Protocol</w:t>
      </w:r>
      <w:r w:rsidR="001276F4" w:rsidRPr="001276F4">
        <w:rPr>
          <w:b/>
          <w:bCs/>
          <w:vertAlign w:val="superscript"/>
        </w:rPr>
        <w:footnoteReference w:id="293"/>
      </w:r>
      <w:r w:rsidR="001276F4" w:rsidRPr="001276F4">
        <w:t xml:space="preserve"> in overseeing a </w:t>
      </w:r>
      <w:r w:rsidR="001276F4" w:rsidRPr="1AF97AF8">
        <w:t>Human Health Risk Assessment</w:t>
      </w:r>
      <w:r w:rsidR="001276F4" w:rsidRPr="001276F4">
        <w:t xml:space="preserve"> (HHRA)</w:t>
      </w:r>
      <w:r w:rsidR="001276F4" w:rsidRPr="1AF97AF8">
        <w:rPr>
          <w:b/>
          <w:vertAlign w:val="superscript"/>
        </w:rPr>
        <w:footnoteReference w:id="294"/>
      </w:r>
      <w:r w:rsidR="001276F4" w:rsidRPr="001276F4">
        <w:t xml:space="preserve"> to estimate chronic (long-term) cancer risk and non-cancer hazard, as well as acute (short-term) </w:t>
      </w:r>
      <w:r w:rsidR="00781601">
        <w:t xml:space="preserve">    </w:t>
      </w:r>
      <w:r w:rsidR="001276F4" w:rsidRPr="001276F4">
        <w:t>non-cancer hazard via inhalation of HAP compounds potentially emitted from stationary and mobile marine sources at the terminal facilities.</w:t>
      </w:r>
      <w:r w:rsidR="001276F4" w:rsidRPr="001276F4">
        <w:rPr>
          <w:b/>
          <w:vertAlign w:val="superscript"/>
        </w:rPr>
        <w:footnoteReference w:id="295"/>
      </w:r>
      <w:r w:rsidR="001276F4" w:rsidRPr="001276F4">
        <w:t xml:space="preserve">  The results of the HHRA indicate that the estimated cancer and non-cancer risks for communities near the CP2 LNG Project would be below EPA’s risk management objectives.</w:t>
      </w:r>
      <w:r w:rsidR="001276F4" w:rsidRPr="001276F4">
        <w:rPr>
          <w:b/>
          <w:vertAlign w:val="superscript"/>
        </w:rPr>
        <w:footnoteReference w:id="296"/>
      </w:r>
      <w:r w:rsidR="001276F4" w:rsidRPr="001276F4">
        <w:t xml:space="preserve">  </w:t>
      </w:r>
      <w:r w:rsidR="004E46E2">
        <w:t>As we explained above, t</w:t>
      </w:r>
      <w:r w:rsidR="001276F4" w:rsidRPr="001276F4">
        <w:t>he Commission may reasonably rely upon the EPA’s expertise.</w:t>
      </w:r>
      <w:r w:rsidR="001276F4" w:rsidRPr="001276F4">
        <w:rPr>
          <w:b/>
          <w:vertAlign w:val="superscript"/>
        </w:rPr>
        <w:footnoteReference w:id="297"/>
      </w:r>
      <w:r w:rsidR="002804D5">
        <w:t xml:space="preserve">  </w:t>
      </w:r>
      <w:r w:rsidR="00354E8F">
        <w:t xml:space="preserve">The Commission may also </w:t>
      </w:r>
      <w:r w:rsidR="00875919" w:rsidRPr="00875919">
        <w:t xml:space="preserve">rely upon the </w:t>
      </w:r>
      <w:r w:rsidR="001D6636">
        <w:t xml:space="preserve">mitigation </w:t>
      </w:r>
      <w:r w:rsidR="00875919" w:rsidRPr="00875919">
        <w:t xml:space="preserve">actions </w:t>
      </w:r>
      <w:r w:rsidR="00875919">
        <w:t xml:space="preserve">it has </w:t>
      </w:r>
      <w:r w:rsidR="00875919" w:rsidRPr="00875919">
        <w:t>required when predicting effects in an environmental analysis under NEPA.</w:t>
      </w:r>
      <w:r w:rsidR="00875919">
        <w:rPr>
          <w:rStyle w:val="FootnoteReference"/>
        </w:rPr>
        <w:footnoteReference w:id="298"/>
      </w:r>
      <w:r w:rsidR="00875919" w:rsidRPr="00875919">
        <w:t xml:space="preserve"> </w:t>
      </w:r>
      <w:r w:rsidR="00875919">
        <w:t xml:space="preserve"> </w:t>
      </w:r>
      <w:r w:rsidR="002804D5" w:rsidRPr="002804D5">
        <w:t xml:space="preserve">The Commission, therefore, took a hard look at </w:t>
      </w:r>
      <w:r w:rsidR="002804D5" w:rsidRPr="002804D5">
        <w:lastRenderedPageBreak/>
        <w:t>impacts to</w:t>
      </w:r>
      <w:r w:rsidR="00585ED5">
        <w:t xml:space="preserve"> the surrounding communities</w:t>
      </w:r>
      <w:r w:rsidR="002804D5" w:rsidRPr="002804D5">
        <w:t xml:space="preserve"> and we find the Commission’s mitigation analysis complete.</w:t>
      </w:r>
      <w:r w:rsidR="002804D5" w:rsidRPr="002804D5">
        <w:rPr>
          <w:b/>
          <w:vertAlign w:val="superscript"/>
        </w:rPr>
        <w:footnoteReference w:id="299"/>
      </w:r>
    </w:p>
    <w:p w14:paraId="18B7F8CC" w14:textId="77777777" w:rsidR="00803361" w:rsidRDefault="00803361" w:rsidP="00803361">
      <w:pPr>
        <w:pStyle w:val="FERCparanumber"/>
        <w:tabs>
          <w:tab w:val="clear" w:pos="720"/>
          <w:tab w:val="num" w:pos="900"/>
        </w:tabs>
        <w:spacing w:after="240"/>
      </w:pPr>
      <w:r>
        <w:t>Petitioners also disagree with the Commission’s single pollutant approach and argue that environmental justice communities suffer from the cumulative impacts from exposure to multiple pollutants and that such analysis ignores the interplay between pollutants.</w:t>
      </w:r>
      <w:r>
        <w:rPr>
          <w:rStyle w:val="FootnoteReference"/>
        </w:rPr>
        <w:footnoteReference w:id="300"/>
      </w:r>
      <w:r>
        <w:t xml:space="preserve">  Petitioners refer to the formation of particulate matter and ozone, for which the EPA has found there are no zero-risk thresholds for health effects, and assert that the Commission failed to demonstrated how the NAAQS can account for adverse impacts to environmental justice communities.</w:t>
      </w:r>
      <w:r>
        <w:rPr>
          <w:rStyle w:val="FootnoteReference"/>
        </w:rPr>
        <w:footnoteReference w:id="301"/>
      </w:r>
    </w:p>
    <w:p w14:paraId="64D05D49" w14:textId="77777777" w:rsidR="00803361" w:rsidRDefault="00803361" w:rsidP="00803361">
      <w:pPr>
        <w:pStyle w:val="FERCparanumber"/>
        <w:tabs>
          <w:tab w:val="clear" w:pos="720"/>
          <w:tab w:val="num" w:pos="900"/>
        </w:tabs>
        <w:spacing w:after="240"/>
      </w:pPr>
      <w:r>
        <w:t>Despite Petitioners’ disagreements with the Commission’s approach, the attainment designation of an area is determined by EPA on a pollutant-by-pollutant basis and for each established primary standard.</w:t>
      </w:r>
      <w:r>
        <w:rPr>
          <w:rStyle w:val="FootnoteReference"/>
        </w:rPr>
        <w:footnoteReference w:id="302"/>
      </w:r>
      <w:r>
        <w:t xml:space="preserve">  Here, each of the measured pollutant concentrations is below the associated NAAQS, thus indicating continued, on-going attainment of the standards.</w:t>
      </w:r>
      <w:r>
        <w:rPr>
          <w:rStyle w:val="FootnoteReference"/>
        </w:rPr>
        <w:footnoteReference w:id="303"/>
      </w:r>
      <w:r>
        <w:t xml:space="preserve">  </w:t>
      </w:r>
      <w:r w:rsidR="00A465F8">
        <w:t>The Projects</w:t>
      </w:r>
      <w:r>
        <w:t xml:space="preserve"> would </w:t>
      </w:r>
      <w:r w:rsidR="00A465F8">
        <w:t xml:space="preserve">not </w:t>
      </w:r>
      <w:r>
        <w:t>cause or contribute to a NAAQS exceedance</w:t>
      </w:r>
      <w:r w:rsidR="006362D2">
        <w:t xml:space="preserve"> because they are either below the applicable SILs</w:t>
      </w:r>
      <w:r w:rsidR="00DC65AA">
        <w:t xml:space="preserve"> (in the case of the Moss Lake Compressor Station) or the cumulative air modeling shows no NAAQS exceedances for criteria pollutants (in the case of the CP2 LNG Project)</w:t>
      </w:r>
      <w:r>
        <w:t>.</w:t>
      </w:r>
      <w:r>
        <w:rPr>
          <w:rStyle w:val="FootnoteReference"/>
        </w:rPr>
        <w:footnoteReference w:id="304"/>
      </w:r>
      <w:r>
        <w:t xml:space="preserve">  Nevertheless, </w:t>
      </w:r>
      <w:r w:rsidR="005C147D">
        <w:t>a</w:t>
      </w:r>
      <w:r w:rsidRPr="00C3759F">
        <w:t xml:space="preserve">lthough Project emissions of criteria pollutants are expected to be minimal, and the NAAQS are designated to protect sensitive populations such as children, the elderly, and persons with asthma, we acknowledge that </w:t>
      </w:r>
      <w:r w:rsidR="00877E23">
        <w:t>“</w:t>
      </w:r>
      <w:r w:rsidRPr="00C3759F">
        <w:t xml:space="preserve">NAAQS attainment alone may not assure there is no localized harm to such populations due to project emissions of </w:t>
      </w:r>
      <w:r w:rsidR="001C590E">
        <w:t>[</w:t>
      </w:r>
      <w:r w:rsidRPr="00C3759F">
        <w:t>VOCs</w:t>
      </w:r>
      <w:r w:rsidR="001C590E">
        <w:t>]</w:t>
      </w:r>
      <w:r w:rsidRPr="00C3759F">
        <w:t xml:space="preserve">, </w:t>
      </w:r>
      <w:r w:rsidR="00543704">
        <w:t>[</w:t>
      </w:r>
      <w:r w:rsidRPr="00C3759F">
        <w:t>HAP</w:t>
      </w:r>
      <w:r>
        <w:t>s</w:t>
      </w:r>
      <w:r w:rsidR="00543704">
        <w:t>]</w:t>
      </w:r>
      <w:r w:rsidRPr="00C3759F">
        <w:t xml:space="preserve">, </w:t>
      </w:r>
      <w:r w:rsidR="00543704">
        <w:t>as well</w:t>
      </w:r>
      <w:r w:rsidRPr="00C3759F">
        <w:t xml:space="preserve"> as the presence of non-</w:t>
      </w:r>
      <w:r w:rsidR="00543704">
        <w:t>p</w:t>
      </w:r>
      <w:r w:rsidRPr="00C3759F">
        <w:t>roject-related pollution sources, local health risk factors, disease prevalence, and access (or lack thereof) to adequate care.</w:t>
      </w:r>
      <w:r>
        <w:t>”</w:t>
      </w:r>
      <w:r>
        <w:rPr>
          <w:rStyle w:val="FootnoteReference"/>
        </w:rPr>
        <w:footnoteReference w:id="305"/>
      </w:r>
    </w:p>
    <w:p w14:paraId="289795AF" w14:textId="77777777" w:rsidR="00803361" w:rsidRDefault="00803361" w:rsidP="00803361">
      <w:pPr>
        <w:pStyle w:val="FERCparanumber"/>
        <w:tabs>
          <w:tab w:val="clear" w:pos="720"/>
          <w:tab w:val="num" w:pos="900"/>
        </w:tabs>
        <w:spacing w:after="240"/>
      </w:pPr>
      <w:r>
        <w:t xml:space="preserve">Petitioners next argue that the Commission failed to consider how health and socioeconomic factors influence environmental justice communities’ susceptibility to air </w:t>
      </w:r>
      <w:r>
        <w:lastRenderedPageBreak/>
        <w:t>pollution, despite acknowledging such factors.</w:t>
      </w:r>
      <w:r>
        <w:rPr>
          <w:rStyle w:val="FootnoteReference"/>
        </w:rPr>
        <w:footnoteReference w:id="306"/>
      </w:r>
      <w:r>
        <w:t xml:space="preserve">  They assert that the Commission’s additional health risk assessment regarding operational emissions of 16 HAPs ignored environmental justice communities’ heightened susceptibility to criteria pollutants, and that the Commission only evaluated cancer and non-cancer health risks from individual pollutants without consideration of this heightened susceptibility.</w:t>
      </w:r>
      <w:r>
        <w:rPr>
          <w:rStyle w:val="FootnoteReference"/>
        </w:rPr>
        <w:footnoteReference w:id="307"/>
      </w:r>
      <w:r>
        <w:t xml:space="preserve"> </w:t>
      </w:r>
      <w:r w:rsidR="00DA5744">
        <w:t xml:space="preserve"> </w:t>
      </w:r>
      <w:r>
        <w:t xml:space="preserve">Specifically, Petitioners maintain that the Commission failed to analyze: </w:t>
      </w:r>
      <w:r w:rsidR="00D12AF5">
        <w:t xml:space="preserve"> </w:t>
      </w:r>
      <w:r>
        <w:t>(</w:t>
      </w:r>
      <w:r w:rsidRPr="001504AB">
        <w:t>1) levels of existing asthma,</w:t>
      </w:r>
      <w:r>
        <w:t xml:space="preserve"> </w:t>
      </w:r>
      <w:r w:rsidRPr="001504AB">
        <w:t>respiratory disease, or cancer by income and area; (2) age disparities; and (3) lack of access to</w:t>
      </w:r>
      <w:r>
        <w:t xml:space="preserve"> </w:t>
      </w:r>
      <w:r w:rsidRPr="001504AB">
        <w:t>health care</w:t>
      </w:r>
      <w:r>
        <w:t>, and that, therefore, the Commission failed to take a hard look at air quality on environmental justice populations.</w:t>
      </w:r>
      <w:r>
        <w:rPr>
          <w:rStyle w:val="FootnoteReference"/>
        </w:rPr>
        <w:footnoteReference w:id="308"/>
      </w:r>
    </w:p>
    <w:p w14:paraId="5A561E15" w14:textId="77777777" w:rsidR="00803361" w:rsidRDefault="00803361" w:rsidP="00803361">
      <w:pPr>
        <w:pStyle w:val="FERCparanumber"/>
        <w:tabs>
          <w:tab w:val="clear" w:pos="720"/>
          <w:tab w:val="num" w:pos="900"/>
        </w:tabs>
        <w:spacing w:after="240"/>
      </w:pPr>
      <w:r>
        <w:t xml:space="preserve">We </w:t>
      </w:r>
      <w:r w:rsidR="00E00043">
        <w:t>find that the Commission f</w:t>
      </w:r>
      <w:r w:rsidR="00E00043" w:rsidRPr="00E00043">
        <w:t>ulfill</w:t>
      </w:r>
      <w:r w:rsidR="00E00043">
        <w:t>ed</w:t>
      </w:r>
      <w:r w:rsidR="00E00043" w:rsidRPr="00E00043">
        <w:t xml:space="preserve"> its NEPA responsibilities by considering impacts to all potentially affected communities</w:t>
      </w:r>
      <w:r>
        <w:t>.</w:t>
      </w:r>
      <w:r w:rsidR="0011127B">
        <w:rPr>
          <w:rStyle w:val="FootnoteReference"/>
        </w:rPr>
        <w:footnoteReference w:id="309"/>
      </w:r>
      <w:r>
        <w:t xml:space="preserve">  T</w:t>
      </w:r>
      <w:r w:rsidRPr="006A24DF">
        <w:t xml:space="preserve">he final EIS identified the existing baseline conditions, including ambient air quality monitoring data over a </w:t>
      </w:r>
      <w:r w:rsidRPr="005565AE">
        <w:t>three-year period</w:t>
      </w:r>
      <w:r w:rsidRPr="006A24DF">
        <w:t>, the attainment status of all project areas for each pollutant, and the existing emissions</w:t>
      </w:r>
      <w:r>
        <w:t>.</w:t>
      </w:r>
      <w:r>
        <w:rPr>
          <w:rStyle w:val="FootnoteReference"/>
        </w:rPr>
        <w:footnoteReference w:id="310"/>
      </w:r>
      <w:r>
        <w:t xml:space="preserve">  Petitioners’ argument that the Commission should have evaluated existing human health conditions is akin to requesting the Commission conduct a health impact assessment, which we have previously held to be </w:t>
      </w:r>
      <w:r w:rsidRPr="000445C5">
        <w:t>redundant.</w:t>
      </w:r>
      <w:r>
        <w:rPr>
          <w:rStyle w:val="FootnoteReference"/>
        </w:rPr>
        <w:footnoteReference w:id="311"/>
      </w:r>
      <w:r>
        <w:t xml:space="preserve"> </w:t>
      </w:r>
      <w:r w:rsidRPr="000445C5">
        <w:t xml:space="preserve"> </w:t>
      </w:r>
      <w:r>
        <w:t>As we explained above, t</w:t>
      </w:r>
      <w:r w:rsidRPr="000445C5">
        <w:t xml:space="preserve">he EPA developed </w:t>
      </w:r>
      <w:r>
        <w:t>the</w:t>
      </w:r>
      <w:r w:rsidRPr="000445C5">
        <w:t xml:space="preserve"> NAAQS to protect human health, including that of sensitive populations (e.g., asthmatics, those with cardiovascular disease, children, the elderly, etc.) to account for the latest research on health impacts.</w:t>
      </w:r>
      <w:r>
        <w:rPr>
          <w:rStyle w:val="FootnoteReference"/>
        </w:rPr>
        <w:footnoteReference w:id="312"/>
      </w:r>
      <w:r w:rsidRPr="000445C5">
        <w:t xml:space="preserve"> </w:t>
      </w:r>
      <w:r>
        <w:t xml:space="preserve"> </w:t>
      </w:r>
      <w:r w:rsidRPr="000445C5">
        <w:t xml:space="preserve">EPA has also established multiple standards for different pollutants to address both long-term chronic exposure and short-term exposures (e.g., 1-hour or 24-hour) and standards for HAP emissions for specific source categories under the </w:t>
      </w:r>
      <w:r>
        <w:t>CAA</w:t>
      </w:r>
      <w:r w:rsidRPr="000445C5">
        <w:t>.</w:t>
      </w:r>
      <w:r>
        <w:rPr>
          <w:rStyle w:val="FootnoteReference"/>
        </w:rPr>
        <w:footnoteReference w:id="313"/>
      </w:r>
      <w:r>
        <w:t xml:space="preserve">  Accordingly, we find no basis in this </w:t>
      </w:r>
      <w:r>
        <w:lastRenderedPageBreak/>
        <w:t>proceeding to question EPA’s standards, which, we note, were subject to public comment.</w:t>
      </w:r>
      <w:r>
        <w:rPr>
          <w:rStyle w:val="FootnoteReference"/>
        </w:rPr>
        <w:footnoteReference w:id="314"/>
      </w:r>
    </w:p>
    <w:p w14:paraId="34CCFEB8" w14:textId="77777777" w:rsidR="00D22ADE" w:rsidRPr="001276F4" w:rsidRDefault="00B65987" w:rsidP="00803361">
      <w:pPr>
        <w:pStyle w:val="FERCparanumber"/>
      </w:pPr>
      <w:r>
        <w:t>As discussed above, t</w:t>
      </w:r>
      <w:r w:rsidR="00803361">
        <w:t>he final EIS</w:t>
      </w:r>
      <w:r w:rsidR="00803361" w:rsidRPr="00437E51">
        <w:t xml:space="preserve"> followed EPA’s </w:t>
      </w:r>
      <w:r w:rsidR="00803361" w:rsidRPr="000C0A3F">
        <w:rPr>
          <w:i/>
          <w:iCs/>
        </w:rPr>
        <w:t>Human Health Risk Assessment Protocol</w:t>
      </w:r>
      <w:r w:rsidR="00803361" w:rsidRPr="00437E51">
        <w:rPr>
          <w:b/>
          <w:bCs/>
          <w:vertAlign w:val="superscript"/>
        </w:rPr>
        <w:footnoteReference w:id="315"/>
      </w:r>
      <w:r w:rsidR="00803361" w:rsidRPr="00437E51">
        <w:t xml:space="preserve"> in overseeing </w:t>
      </w:r>
      <w:r w:rsidR="000B760F">
        <w:t>an HHRA</w:t>
      </w:r>
      <w:r w:rsidR="00803361" w:rsidRPr="00437E51">
        <w:rPr>
          <w:b/>
          <w:vertAlign w:val="superscript"/>
          <w:lang w:val="x-none"/>
        </w:rPr>
        <w:footnoteReference w:id="316"/>
      </w:r>
      <w:r w:rsidR="00803361" w:rsidRPr="000C0A3F">
        <w:rPr>
          <w:lang w:val="x-none"/>
        </w:rPr>
        <w:t xml:space="preserve"> for </w:t>
      </w:r>
      <w:r w:rsidR="00803361" w:rsidRPr="00437E51">
        <w:t xml:space="preserve">maximum </w:t>
      </w:r>
      <w:r w:rsidR="00803361" w:rsidRPr="000C0A3F">
        <w:rPr>
          <w:lang w:val="x-none"/>
        </w:rPr>
        <w:t xml:space="preserve">HAP emissions from the LNG </w:t>
      </w:r>
      <w:r w:rsidR="00803361">
        <w:t>project</w:t>
      </w:r>
      <w:r w:rsidR="00803361" w:rsidRPr="000C0A3F">
        <w:rPr>
          <w:lang w:val="x-none"/>
        </w:rPr>
        <w:t xml:space="preserve"> (stationary and mobile marine sources) based on </w:t>
      </w:r>
      <w:r w:rsidR="00803361" w:rsidRPr="00437E51">
        <w:t xml:space="preserve">the highest </w:t>
      </w:r>
      <w:r w:rsidR="00803361" w:rsidRPr="000C0A3F">
        <w:rPr>
          <w:lang w:val="x-none"/>
        </w:rPr>
        <w:t xml:space="preserve">model-predicted </w:t>
      </w:r>
      <w:r w:rsidR="00781601">
        <w:rPr>
          <w:lang w:val="x-none"/>
        </w:rPr>
        <w:t xml:space="preserve">       </w:t>
      </w:r>
      <w:r w:rsidR="00803361" w:rsidRPr="000C0A3F">
        <w:rPr>
          <w:lang w:val="x-none"/>
        </w:rPr>
        <w:t>1-hour and annual average ground-level concentrations of a total of 16 HAPs</w:t>
      </w:r>
      <w:r w:rsidR="00803361" w:rsidRPr="00437E51">
        <w:t>.</w:t>
      </w:r>
      <w:r w:rsidR="00803361" w:rsidRPr="00437E51">
        <w:rPr>
          <w:b/>
          <w:bCs/>
          <w:vertAlign w:val="superscript"/>
          <w:lang w:val="x-none"/>
        </w:rPr>
        <w:footnoteReference w:id="317"/>
      </w:r>
      <w:r w:rsidR="00803361" w:rsidRPr="00437E51">
        <w:t xml:space="preserve">  </w:t>
      </w:r>
      <w:r w:rsidR="00803361">
        <w:t>The Risk Assessment evaluated both chronic and acute cancer and non-cancer hazards associated with the LNG project.</w:t>
      </w:r>
      <w:r w:rsidR="00803361">
        <w:rPr>
          <w:rStyle w:val="FootnoteReference"/>
        </w:rPr>
        <w:footnoteReference w:id="318"/>
      </w:r>
      <w:r w:rsidR="00803361">
        <w:t xml:space="preserve">  T</w:t>
      </w:r>
      <w:r w:rsidR="00803361" w:rsidRPr="009F4385">
        <w:t xml:space="preserve">he results of the </w:t>
      </w:r>
      <w:r w:rsidR="00803361">
        <w:t>Risk Assessment</w:t>
      </w:r>
      <w:r w:rsidR="00803361" w:rsidRPr="009F4385">
        <w:t xml:space="preserve"> demonstrated that all chronic cancer, chronic non-cancer, and acute non-cancer hazards are below EPA risk management objectives.</w:t>
      </w:r>
      <w:r w:rsidR="00803361">
        <w:rPr>
          <w:rStyle w:val="FootnoteReference"/>
        </w:rPr>
        <w:footnoteReference w:id="319"/>
      </w:r>
      <w:r w:rsidR="00803361" w:rsidRPr="009F4385">
        <w:t xml:space="preserve"> </w:t>
      </w:r>
      <w:r w:rsidR="00803361">
        <w:t xml:space="preserve"> The Commission has taken the requisite hard look</w:t>
      </w:r>
      <w:r w:rsidR="00243370">
        <w:t xml:space="preserve"> at </w:t>
      </w:r>
      <w:r w:rsidR="00E042D2">
        <w:t xml:space="preserve">potential impacts on </w:t>
      </w:r>
      <w:r w:rsidR="00243370">
        <w:t>surrounding communities</w:t>
      </w:r>
      <w:r w:rsidR="00803361">
        <w:t>.</w:t>
      </w:r>
    </w:p>
    <w:p w14:paraId="3754B2AF" w14:textId="77777777" w:rsidR="001276F4" w:rsidRPr="001276F4" w:rsidRDefault="001276F4" w:rsidP="001276F4">
      <w:pPr>
        <w:pStyle w:val="Heading3"/>
      </w:pPr>
      <w:r w:rsidRPr="001276F4">
        <w:t>Peak Capacity/Future Emissions</w:t>
      </w:r>
    </w:p>
    <w:p w14:paraId="4757B53F" w14:textId="77777777" w:rsidR="001276F4" w:rsidRPr="001276F4" w:rsidRDefault="001276F4" w:rsidP="001276F4">
      <w:pPr>
        <w:pStyle w:val="FERCparanumber"/>
      </w:pPr>
      <w:r w:rsidRPr="001276F4">
        <w:t>Petitioners next assert that the Commission’s emissions analysis fails to estimate total vessel traffic at the CP2 LNG Project’s anticipated peak capacity of 28 MTPA, and, instead, uses the number of vessels associated with the CP2 LNG Project’s nameplate capacity of 20 MTPA.</w:t>
      </w:r>
      <w:r w:rsidRPr="001276F4">
        <w:rPr>
          <w:b/>
          <w:vertAlign w:val="superscript"/>
        </w:rPr>
        <w:footnoteReference w:id="320"/>
      </w:r>
      <w:r w:rsidRPr="001276F4">
        <w:t xml:space="preserve">  Petitioners argue that, assuming a pro rata increase, the Commission failed to account for an additional 40% more vessel trips, up to 165 trips annually, which represents an increase in emissions that the Commission failed to address.</w:t>
      </w:r>
      <w:r w:rsidRPr="001276F4">
        <w:rPr>
          <w:b/>
          <w:vertAlign w:val="superscript"/>
        </w:rPr>
        <w:footnoteReference w:id="321"/>
      </w:r>
      <w:r w:rsidRPr="001276F4">
        <w:t xml:space="preserve">  </w:t>
      </w:r>
    </w:p>
    <w:p w14:paraId="0AD10B48" w14:textId="77777777" w:rsidR="001276F4" w:rsidRPr="001276F4" w:rsidRDefault="001276F4">
      <w:pPr>
        <w:pStyle w:val="FERCparanumber"/>
      </w:pPr>
      <w:r w:rsidRPr="001276F4">
        <w:lastRenderedPageBreak/>
        <w:t xml:space="preserve">The </w:t>
      </w:r>
      <w:r w:rsidR="00345DA8">
        <w:t>CP2 LNG P</w:t>
      </w:r>
      <w:r w:rsidRPr="001276F4">
        <w:t>roject is designed with a nameplate liquefaction and export capacity of approximately 20 MTPA, and a peak achievable capacity of 28 MTPA under optimal operating conditions.</w:t>
      </w:r>
      <w:r w:rsidRPr="001276F4">
        <w:rPr>
          <w:b/>
          <w:vertAlign w:val="superscript"/>
        </w:rPr>
        <w:footnoteReference w:id="322"/>
      </w:r>
      <w:r w:rsidRPr="001276F4">
        <w:t xml:space="preserve">  CP2 LNG estimates that its nameplate production volumes would be able to accommodate approximately three to four LNG carrier calls per week after the Phase 1 facilities are placed in service and approximately seven to eight LNG carrier calls per week after Phase 2 (a maximum of 200 carrier calls per year following completion of Phase 1 and a maximum of 400 carrier calls per year following completion of Phase 2).</w:t>
      </w:r>
      <w:r w:rsidRPr="001276F4">
        <w:rPr>
          <w:b/>
          <w:vertAlign w:val="superscript"/>
        </w:rPr>
        <w:footnoteReference w:id="323"/>
      </w:r>
      <w:r w:rsidRPr="001276F4">
        <w:t xml:space="preserve">  </w:t>
      </w:r>
    </w:p>
    <w:p w14:paraId="10AA7105" w14:textId="77777777" w:rsidR="001276F4" w:rsidRPr="001276F4" w:rsidRDefault="001276F4">
      <w:pPr>
        <w:pStyle w:val="FERCparanumber"/>
      </w:pPr>
      <w:r w:rsidRPr="001276F4">
        <w:t>The emissions summarized in the final EIS regarding LNG carriers and mobile sources are inclusive of 412 carrier calls per year.</w:t>
      </w:r>
      <w:r w:rsidRPr="001276F4">
        <w:rPr>
          <w:b/>
          <w:vertAlign w:val="superscript"/>
        </w:rPr>
        <w:footnoteReference w:id="324"/>
      </w:r>
      <w:r w:rsidRPr="001276F4">
        <w:t xml:space="preserve">  Although the final EIS explained that “[t]he number of carrier calls per year [412] is a conservative estimate of LNG carrier/mobile source emissions,” the LNG carriers would have a “range of LNG capacity between 120,000 to 210,000 [m</w:t>
      </w:r>
      <w:r w:rsidRPr="001276F4">
        <w:rPr>
          <w:vertAlign w:val="superscript"/>
        </w:rPr>
        <w:t>3</w:t>
      </w:r>
      <w:r w:rsidRPr="001276F4">
        <w:t>].”</w:t>
      </w:r>
      <w:r w:rsidRPr="001276F4">
        <w:rPr>
          <w:b/>
          <w:vertAlign w:val="superscript"/>
        </w:rPr>
        <w:footnoteReference w:id="325"/>
      </w:r>
      <w:r w:rsidRPr="001276F4">
        <w:t xml:space="preserve">  </w:t>
      </w:r>
      <w:r w:rsidR="007C737A">
        <w:t>A</w:t>
      </w:r>
      <w:r w:rsidRPr="001276F4">
        <w:t>ssuming peak capacity of 28 MTPA as Petitioners suggest</w:t>
      </w:r>
      <w:r w:rsidR="007C737A">
        <w:t xml:space="preserve"> we do</w:t>
      </w:r>
      <w:r w:rsidRPr="001276F4">
        <w:t xml:space="preserve">, 412 carrier calls with carriers having an LNG capacity within </w:t>
      </w:r>
      <w:r w:rsidRPr="001276F4">
        <w:lastRenderedPageBreak/>
        <w:t>this range would be more than sufficient.</w:t>
      </w:r>
      <w:r w:rsidRPr="001276F4">
        <w:rPr>
          <w:b/>
          <w:vertAlign w:val="superscript"/>
        </w:rPr>
        <w:footnoteReference w:id="326"/>
      </w:r>
      <w:r w:rsidRPr="001276F4">
        <w:t xml:space="preserve">  Accordingly, we find that the Commission adequately considered carrier calls and their attendant emissions.</w:t>
      </w:r>
      <w:r w:rsidRPr="001276F4">
        <w:rPr>
          <w:b/>
          <w:vertAlign w:val="superscript"/>
        </w:rPr>
        <w:footnoteReference w:id="327"/>
      </w:r>
    </w:p>
    <w:p w14:paraId="75BE9891" w14:textId="77777777" w:rsidR="001276F4" w:rsidRPr="001276F4" w:rsidRDefault="001276F4">
      <w:pPr>
        <w:pStyle w:val="FERCparanumber"/>
      </w:pPr>
      <w:r w:rsidRPr="001276F4">
        <w:t>Petitioners also argue that the Commission should address, as reasonably foreseeable, CP2 LNG’s future plans to uprate its capacity.</w:t>
      </w:r>
      <w:r w:rsidRPr="001276F4">
        <w:rPr>
          <w:b/>
          <w:vertAlign w:val="superscript"/>
        </w:rPr>
        <w:footnoteReference w:id="328"/>
      </w:r>
      <w:r w:rsidRPr="001276F4">
        <w:t xml:space="preserve">  </w:t>
      </w:r>
      <w:r w:rsidR="00C4504B">
        <w:t>They aver</w:t>
      </w:r>
      <w:r w:rsidRPr="001276F4">
        <w:t xml:space="preserve"> that CP2 LNG uses similar equipment to its CP1 LNG facility where it sought an amendment to uprate its capacity.</w:t>
      </w:r>
      <w:r w:rsidRPr="001276F4">
        <w:rPr>
          <w:b/>
          <w:vertAlign w:val="superscript"/>
        </w:rPr>
        <w:footnoteReference w:id="329"/>
      </w:r>
      <w:r w:rsidRPr="001276F4">
        <w:t xml:space="preserve">  </w:t>
      </w:r>
      <w:r w:rsidR="00C4504B">
        <w:t>They further</w:t>
      </w:r>
      <w:r w:rsidR="00C4504B" w:rsidRPr="001276F4">
        <w:t xml:space="preserve"> </w:t>
      </w:r>
      <w:r w:rsidRPr="001276F4">
        <w:t>maintain that other LNG terminals have requested similar uprate amendments shortly after receiving Commission authorization.</w:t>
      </w:r>
      <w:r w:rsidRPr="001276F4">
        <w:rPr>
          <w:b/>
          <w:vertAlign w:val="superscript"/>
        </w:rPr>
        <w:footnoteReference w:id="330"/>
      </w:r>
      <w:r w:rsidRPr="001276F4">
        <w:t xml:space="preserve">  Petitioners also argue that the Commission should have considered whether an alternative design with a smaller nameplate capacity could achieve the same overall output after accounting for these uprate practices.</w:t>
      </w:r>
      <w:r w:rsidRPr="001276F4">
        <w:rPr>
          <w:b/>
          <w:vertAlign w:val="superscript"/>
        </w:rPr>
        <w:footnoteReference w:id="331"/>
      </w:r>
      <w:r w:rsidRPr="001276F4">
        <w:t xml:space="preserve">  </w:t>
      </w:r>
      <w:r w:rsidR="00C4504B">
        <w:t>They maintain</w:t>
      </w:r>
      <w:r w:rsidRPr="001276F4">
        <w:t xml:space="preserve"> that the Commission should have accounted for the incremental emissions due to this possible future uprate of the CP2 LNG Project.</w:t>
      </w:r>
      <w:r w:rsidRPr="001276F4">
        <w:rPr>
          <w:b/>
          <w:vertAlign w:val="superscript"/>
        </w:rPr>
        <w:footnoteReference w:id="332"/>
      </w:r>
    </w:p>
    <w:p w14:paraId="2BEFE505" w14:textId="77777777" w:rsidR="001276F4" w:rsidRPr="001276F4" w:rsidRDefault="001276F4">
      <w:pPr>
        <w:pStyle w:val="FERCparanumber"/>
      </w:pPr>
      <w:r w:rsidRPr="001276F4">
        <w:t>We disagree.  NEPA does not require an agency to consider the possible environmental impacts of speculative or hypothetical actions when preparing an impact statement on proposed actions.</w:t>
      </w:r>
      <w:r w:rsidRPr="001276F4">
        <w:rPr>
          <w:b/>
          <w:vertAlign w:val="superscript"/>
        </w:rPr>
        <w:footnoteReference w:id="333"/>
      </w:r>
      <w:r w:rsidRPr="001276F4">
        <w:t xml:space="preserve">  </w:t>
      </w:r>
      <w:r w:rsidR="009F0C99" w:rsidRPr="001276F4">
        <w:t xml:space="preserve">We find the instant proceeding analogous to </w:t>
      </w:r>
      <w:r w:rsidR="00781601">
        <w:t xml:space="preserve">             </w:t>
      </w:r>
      <w:r w:rsidR="009F0C99">
        <w:rPr>
          <w:i/>
          <w:iCs/>
        </w:rPr>
        <w:t>National Wildlife</w:t>
      </w:r>
      <w:r w:rsidR="009F0C99" w:rsidRPr="001276F4">
        <w:t xml:space="preserve"> </w:t>
      </w:r>
      <w:r w:rsidR="00161992">
        <w:rPr>
          <w:i/>
          <w:iCs/>
        </w:rPr>
        <w:t>Federation</w:t>
      </w:r>
      <w:r w:rsidR="00161992">
        <w:t>,</w:t>
      </w:r>
      <w:r w:rsidR="00161992">
        <w:rPr>
          <w:i/>
          <w:iCs/>
        </w:rPr>
        <w:t xml:space="preserve"> </w:t>
      </w:r>
      <w:r w:rsidR="009F0C99" w:rsidRPr="001276F4">
        <w:t xml:space="preserve">which held that the Commission was not required to consider the potential environmental impact of a </w:t>
      </w:r>
      <w:r w:rsidR="00D04711">
        <w:t xml:space="preserve">similarly speculative </w:t>
      </w:r>
      <w:r w:rsidR="009F0C99" w:rsidRPr="001276F4">
        <w:t xml:space="preserve">second phase </w:t>
      </w:r>
      <w:r w:rsidR="009F0C99" w:rsidRPr="001276F4">
        <w:lastRenderedPageBreak/>
        <w:t>expansion of a project in its EIS.</w:t>
      </w:r>
      <w:r w:rsidR="009F0C99" w:rsidRPr="001276F4">
        <w:rPr>
          <w:b/>
          <w:vertAlign w:val="superscript"/>
        </w:rPr>
        <w:footnoteReference w:id="334"/>
      </w:r>
      <w:r w:rsidR="00FF3D18">
        <w:t xml:space="preserve">  </w:t>
      </w:r>
      <w:r w:rsidR="00A725DB">
        <w:t>Moreover, a</w:t>
      </w:r>
      <w:r w:rsidRPr="001276F4">
        <w:t>s Petitioners observe, if CP2 LNG endeavors to uprate its capacity, it will have to seek Commission approval.</w:t>
      </w:r>
      <w:r w:rsidRPr="001276F4">
        <w:rPr>
          <w:b/>
          <w:vertAlign w:val="superscript"/>
        </w:rPr>
        <w:footnoteReference w:id="335"/>
      </w:r>
      <w:r w:rsidRPr="001276F4">
        <w:t xml:space="preserve">  </w:t>
      </w:r>
    </w:p>
    <w:p w14:paraId="2D31AB7D" w14:textId="77777777" w:rsidR="001276F4" w:rsidRPr="001276F4" w:rsidRDefault="001276F4" w:rsidP="001276F4">
      <w:pPr>
        <w:pStyle w:val="Heading3"/>
      </w:pPr>
      <w:r w:rsidRPr="001276F4">
        <w:t>Construction Emissions and Mitigation</w:t>
      </w:r>
    </w:p>
    <w:p w14:paraId="658C9680" w14:textId="77777777" w:rsidR="001276F4" w:rsidRPr="001276F4" w:rsidRDefault="001276F4" w:rsidP="001276F4">
      <w:pPr>
        <w:pStyle w:val="FERCparanumber"/>
      </w:pPr>
      <w:r w:rsidRPr="001276F4">
        <w:t xml:space="preserve">Petitioners disagree with the Commission’s reliance on CP2 LNG’s commitment to develop a future air quality monitoring plan to monitor </w:t>
      </w:r>
      <w:r w:rsidR="003E6A01">
        <w:t xml:space="preserve">24-hour </w:t>
      </w:r>
      <w:r w:rsidRPr="001276F4">
        <w:t>PM</w:t>
      </w:r>
      <w:r w:rsidRPr="001276F4">
        <w:rPr>
          <w:vertAlign w:val="subscript"/>
        </w:rPr>
        <w:t>2.5</w:t>
      </w:r>
      <w:r w:rsidRPr="001276F4">
        <w:t xml:space="preserve"> </w:t>
      </w:r>
      <w:r w:rsidR="003E6A01">
        <w:t xml:space="preserve">and </w:t>
      </w:r>
      <w:r w:rsidRPr="001276F4">
        <w:t>PM</w:t>
      </w:r>
      <w:r w:rsidRPr="001276F4">
        <w:rPr>
          <w:vertAlign w:val="subscript"/>
        </w:rPr>
        <w:t>10</w:t>
      </w:r>
      <w:r w:rsidRPr="001276F4">
        <w:t xml:space="preserve"> and </w:t>
      </w:r>
      <w:r w:rsidR="00781601">
        <w:t xml:space="preserve">            </w:t>
      </w:r>
      <w:r w:rsidR="003E6A01">
        <w:t xml:space="preserve">1-hour </w:t>
      </w:r>
      <w:r w:rsidRPr="001276F4">
        <w:t>NO</w:t>
      </w:r>
      <w:r w:rsidRPr="001276F4">
        <w:rPr>
          <w:vertAlign w:val="subscript"/>
        </w:rPr>
        <w:t>2</w:t>
      </w:r>
      <w:r w:rsidRPr="001276F4">
        <w:t xml:space="preserve"> concentrations during construction and commissioning of the CP2 LNG Project.</w:t>
      </w:r>
      <w:r w:rsidRPr="001276F4">
        <w:rPr>
          <w:b/>
          <w:vertAlign w:val="superscript"/>
        </w:rPr>
        <w:footnoteReference w:id="336"/>
      </w:r>
      <w:r w:rsidRPr="001276F4">
        <w:t xml:space="preserve">  They argue that the development of a future plan does not address EPA’s concerns and mitigation proposals regarding fugitive dust and criteria pollutant mitigation during construction and that the Commission failed to engage on this issue, or recommend mitigation or monitoring to ensure NAAQS compliance during construction.</w:t>
      </w:r>
      <w:r w:rsidRPr="001276F4">
        <w:rPr>
          <w:b/>
          <w:vertAlign w:val="superscript"/>
        </w:rPr>
        <w:footnoteReference w:id="337"/>
      </w:r>
      <w:r w:rsidRPr="001276F4">
        <w:t xml:space="preserve">  Petitioners assert that NEPA requires agencies to thoroughly evaluate mitigation measures to remediate adverse impacts to below significant levels, and that reliance on a hypothetical plan does not provide the data to determine effectiveness.</w:t>
      </w:r>
      <w:r w:rsidRPr="001276F4">
        <w:rPr>
          <w:b/>
          <w:vertAlign w:val="superscript"/>
        </w:rPr>
        <w:footnoteReference w:id="338"/>
      </w:r>
      <w:r w:rsidRPr="001276F4">
        <w:t xml:space="preserve">  Petitioners maintain that there is no indication that mitigation would be required in the event of an exceedance and that the Commission simply notes that monitoring could facilitate future, unspecified mitigation measures.</w:t>
      </w:r>
      <w:r w:rsidRPr="001276F4">
        <w:rPr>
          <w:b/>
          <w:vertAlign w:val="superscript"/>
        </w:rPr>
        <w:footnoteReference w:id="339"/>
      </w:r>
      <w:r w:rsidRPr="001276F4">
        <w:t xml:space="preserve">  </w:t>
      </w:r>
    </w:p>
    <w:p w14:paraId="5D76A043" w14:textId="77777777" w:rsidR="001276F4" w:rsidRPr="001276F4" w:rsidRDefault="001276F4">
      <w:pPr>
        <w:pStyle w:val="FERCparanumber"/>
      </w:pPr>
      <w:r w:rsidRPr="001276F4">
        <w:t>We disagree.  Here, EPA recommended that the Commission require CP2 LNG to develop measures to implement</w:t>
      </w:r>
      <w:r w:rsidRPr="001276F4" w:rsidDel="00E840D0">
        <w:t xml:space="preserve"> </w:t>
      </w:r>
      <w:r w:rsidRPr="001276F4">
        <w:t xml:space="preserve">when air monitoring data indicates that ambient pollutant concentrations are approaching a NAAQS threshold (e.g., 75% of a NAAQS threshold), and additional construction air quality mitigation measures, such as requiring higher tier </w:t>
      </w:r>
      <w:r w:rsidRPr="001276F4">
        <w:lastRenderedPageBreak/>
        <w:t>construction equipment or zero exhaust emissions equipment.</w:t>
      </w:r>
      <w:r w:rsidRPr="001276F4">
        <w:rPr>
          <w:b/>
          <w:vertAlign w:val="superscript"/>
        </w:rPr>
        <w:footnoteReference w:id="340"/>
      </w:r>
      <w:r w:rsidRPr="001276F4">
        <w:t xml:space="preserve">  As the Commission discussed in the Authorization Order, “CP2 LNG and CP Express have committed to a number of measures to reduce the air quality impacts from construction, including using construction equipment and vehicles that comply with EPA mobile and non-road emission regulations, minimizing engine idling, and maintaining construction-related equipment in accordance with the manufacturer’s recommendations.”</w:t>
      </w:r>
      <w:r w:rsidRPr="001276F4">
        <w:rPr>
          <w:b/>
          <w:vertAlign w:val="superscript"/>
        </w:rPr>
        <w:footnoteReference w:id="341"/>
      </w:r>
      <w:r w:rsidRPr="001276F4">
        <w:t xml:space="preserve">  As to EPA’s air monitoring recommendation, CP2 LNG will develop, in coordination with </w:t>
      </w:r>
      <w:r w:rsidR="00F05664">
        <w:t>L</w:t>
      </w:r>
      <w:r w:rsidRPr="001276F4">
        <w:t xml:space="preserve">DEQ, and submit for Commission staff approval an Ambient Air Quality Mitigation and Monitoring Plan (Air Monitoring Plan) to measure and monitor ambient concentrations of inhalable particulate matter and nitrogen oxides, and CP2 LNG will include protocols to manage any potential NAAQS exceedances during construction and commissioning of the CP2 LNG </w:t>
      </w:r>
      <w:r w:rsidR="00F05664">
        <w:t>Project</w:t>
      </w:r>
      <w:r w:rsidRPr="001276F4">
        <w:t>.</w:t>
      </w:r>
      <w:r w:rsidRPr="001276F4">
        <w:rPr>
          <w:b/>
          <w:vertAlign w:val="superscript"/>
        </w:rPr>
        <w:footnoteReference w:id="342"/>
      </w:r>
      <w:r w:rsidRPr="001276F4">
        <w:t xml:space="preserve">  CP2 LNG must submit the Air Quality Plan as part of the Implementation Plan required by environmental condition 6 of the Authorization Order.</w:t>
      </w:r>
      <w:r w:rsidRPr="001276F4">
        <w:rPr>
          <w:b/>
          <w:vertAlign w:val="superscript"/>
        </w:rPr>
        <w:footnoteReference w:id="343"/>
      </w:r>
      <w:r w:rsidRPr="001276F4">
        <w:t xml:space="preserve">  The Commission’s requirement that CP2 LNG develop such a plan is consistent with its approach in similar proceedings</w:t>
      </w:r>
      <w:r w:rsidR="007A497D">
        <w:t>,</w:t>
      </w:r>
      <w:r w:rsidRPr="001276F4">
        <w:rPr>
          <w:b/>
          <w:vertAlign w:val="superscript"/>
        </w:rPr>
        <w:footnoteReference w:id="344"/>
      </w:r>
      <w:r w:rsidR="007A497D" w:rsidRPr="007A497D">
        <w:t xml:space="preserve"> </w:t>
      </w:r>
      <w:r w:rsidR="007A497D" w:rsidRPr="00070E9F">
        <w:t>and NEPA does not require such mitigation plans to be fully developed at the time of agency action.</w:t>
      </w:r>
      <w:r w:rsidR="007A497D" w:rsidRPr="00070E9F">
        <w:rPr>
          <w:rStyle w:val="FootnoteReference"/>
        </w:rPr>
        <w:footnoteReference w:id="345"/>
      </w:r>
      <w:r w:rsidR="00EA1317" w:rsidRPr="00EA1317">
        <w:t xml:space="preserve"> </w:t>
      </w:r>
      <w:r w:rsidRPr="001276F4">
        <w:t xml:space="preserve"> We find that the Commission adequately addressed EPA’s concerns regarding air monitoring.  </w:t>
      </w:r>
    </w:p>
    <w:p w14:paraId="2AEF1C88" w14:textId="77777777" w:rsidR="001276F4" w:rsidRPr="001276F4" w:rsidRDefault="001276F4">
      <w:pPr>
        <w:pStyle w:val="FERCparanumber"/>
      </w:pPr>
      <w:r w:rsidRPr="001276F4">
        <w:lastRenderedPageBreak/>
        <w:t>Petitioners also maintain that the Commission’s analysis of construction emissions does not account for the lower PM</w:t>
      </w:r>
      <w:r w:rsidRPr="001276F4">
        <w:rPr>
          <w:vertAlign w:val="subscript"/>
        </w:rPr>
        <w:t>2.5</w:t>
      </w:r>
      <w:r w:rsidRPr="001276F4">
        <w:t xml:space="preserve"> NAAQS</w:t>
      </w:r>
      <w:r w:rsidR="00664B95">
        <w:t xml:space="preserve"> thresholds</w:t>
      </w:r>
      <w:r w:rsidRPr="001276F4">
        <w:t>, cumulative mobile emissions or emissions from the 36 cumulative sources missing from the Commission’s air quality analysis.</w:t>
      </w:r>
      <w:r w:rsidRPr="001276F4">
        <w:rPr>
          <w:b/>
          <w:vertAlign w:val="superscript"/>
        </w:rPr>
        <w:footnoteReference w:id="346"/>
      </w:r>
      <w:r w:rsidRPr="001276F4">
        <w:t xml:space="preserve">  </w:t>
      </w:r>
    </w:p>
    <w:p w14:paraId="3226605A" w14:textId="77777777" w:rsidR="001276F4" w:rsidRPr="001276F4" w:rsidRDefault="001276F4">
      <w:pPr>
        <w:pStyle w:val="FERCparanumber"/>
      </w:pPr>
      <w:r w:rsidRPr="001276F4">
        <w:t>The Commission appropriately analyzed construction emissions, including mobile equipment.</w:t>
      </w:r>
      <w:r w:rsidRPr="001276F4">
        <w:rPr>
          <w:b/>
          <w:vertAlign w:val="superscript"/>
        </w:rPr>
        <w:footnoteReference w:id="347"/>
      </w:r>
      <w:r w:rsidRPr="001276F4">
        <w:t xml:space="preserve">  The final EIS determined that construction activities would increase emissions and ambient concentrations in the vicinity of the Projects’ site at various points during the approximate 48-month construction period.</w:t>
      </w:r>
      <w:r w:rsidRPr="001276F4">
        <w:rPr>
          <w:b/>
          <w:vertAlign w:val="superscript"/>
        </w:rPr>
        <w:footnoteReference w:id="348"/>
      </w:r>
      <w:r w:rsidRPr="001276F4">
        <w:t xml:space="preserve">  The magnitude of the effect on air quality would vary with time due to the construction schedule (i.e., intensity of construction activities), mobility of the sources, the variety/type of construction equipment, and the overlap of emissions from Phase 1 commissioning and operation and Phase 2 construction activities.</w:t>
      </w:r>
      <w:r w:rsidRPr="001276F4">
        <w:rPr>
          <w:b/>
          <w:vertAlign w:val="superscript"/>
        </w:rPr>
        <w:footnoteReference w:id="349"/>
      </w:r>
      <w:r w:rsidRPr="001276F4">
        <w:t xml:space="preserve">  The final EIS found that while there may be localized minor to moderate elevated levels of fugitive dust and tailpipe emissions in the vicinity of construction areas during periods of peak construction activity, construction of the Projects would impact local air quality on an intermittent basis and would not have any long-term, significant impacts on air quality.</w:t>
      </w:r>
      <w:r w:rsidRPr="001276F4">
        <w:rPr>
          <w:b/>
          <w:vertAlign w:val="superscript"/>
        </w:rPr>
        <w:footnoteReference w:id="350"/>
      </w:r>
    </w:p>
    <w:p w14:paraId="054B3976" w14:textId="77777777" w:rsidR="001276F4" w:rsidRPr="001276F4" w:rsidRDefault="001276F4">
      <w:pPr>
        <w:pStyle w:val="FERCparanumber"/>
      </w:pPr>
      <w:r w:rsidRPr="001276F4">
        <w:t>The final EIS found that the total PM</w:t>
      </w:r>
      <w:r w:rsidRPr="001276F4">
        <w:rPr>
          <w:vertAlign w:val="subscript"/>
        </w:rPr>
        <w:t>10</w:t>
      </w:r>
      <w:r w:rsidRPr="001276F4">
        <w:t xml:space="preserve"> and PM</w:t>
      </w:r>
      <w:r w:rsidRPr="001276F4">
        <w:rPr>
          <w:vertAlign w:val="subscript"/>
        </w:rPr>
        <w:t>2.5</w:t>
      </w:r>
      <w:r w:rsidRPr="001276F4">
        <w:t xml:space="preserve"> emissions are mainly associated with fugitive dust-generating activities, with most of the fugitive dust emissions associated with land clearing/grading activities.</w:t>
      </w:r>
      <w:r w:rsidRPr="001276F4">
        <w:rPr>
          <w:b/>
          <w:vertAlign w:val="superscript"/>
        </w:rPr>
        <w:footnoteReference w:id="351"/>
      </w:r>
      <w:r w:rsidRPr="001276F4">
        <w:t xml:space="preserve">  CP2 LNG and CP Express developed </w:t>
      </w:r>
      <w:r w:rsidRPr="001276F4">
        <w:lastRenderedPageBreak/>
        <w:t>fugitive dust control plans for the CP2 LNG Project and pipeline project and compressor station construction, which encompassed regulatory requirements as well as additional measures to reduce fugitive dust emissions.</w:t>
      </w:r>
      <w:r w:rsidRPr="001276F4">
        <w:rPr>
          <w:b/>
          <w:vertAlign w:val="superscript"/>
        </w:rPr>
        <w:footnoteReference w:id="352"/>
      </w:r>
      <w:r w:rsidRPr="001276F4">
        <w:t xml:space="preserve">  The details of the plans, mitigation measures, and best work practices can be found in the final EIS.</w:t>
      </w:r>
      <w:r w:rsidRPr="001276F4">
        <w:rPr>
          <w:b/>
          <w:vertAlign w:val="superscript"/>
        </w:rPr>
        <w:footnoteReference w:id="353"/>
      </w:r>
      <w:r w:rsidRPr="001276F4">
        <w:t xml:space="preserve">  We agree with the final EIS that these measures are acceptable and that the construction-related impact</w:t>
      </w:r>
      <w:r w:rsidR="008000B9">
        <w:t>s</w:t>
      </w:r>
      <w:r w:rsidRPr="001276F4">
        <w:t xml:space="preserve"> on local air quality during construction of the Projects would not be significant, including under the revised PM</w:t>
      </w:r>
      <w:r w:rsidRPr="001276F4">
        <w:rPr>
          <w:vertAlign w:val="subscript"/>
        </w:rPr>
        <w:t>2.5</w:t>
      </w:r>
      <w:r w:rsidRPr="001276F4">
        <w:t xml:space="preserve"> NAAQS.</w:t>
      </w:r>
      <w:r w:rsidRPr="001276F4">
        <w:rPr>
          <w:b/>
          <w:vertAlign w:val="superscript"/>
        </w:rPr>
        <w:footnoteReference w:id="354"/>
      </w:r>
      <w:r w:rsidRPr="001276F4">
        <w:t xml:space="preserve"> </w:t>
      </w:r>
    </w:p>
    <w:p w14:paraId="31E81266" w14:textId="77777777" w:rsidR="001276F4" w:rsidRPr="001276F4" w:rsidRDefault="00FD2FB6" w:rsidP="00DE60B8">
      <w:pPr>
        <w:pStyle w:val="Heading3"/>
      </w:pPr>
      <w:r>
        <w:t>Independent Verification</w:t>
      </w:r>
    </w:p>
    <w:p w14:paraId="2F16A52D" w14:textId="77777777" w:rsidR="001276F4" w:rsidRPr="001276F4" w:rsidRDefault="001276F4">
      <w:pPr>
        <w:pStyle w:val="FERCparanumber"/>
      </w:pPr>
      <w:r w:rsidRPr="001276F4">
        <w:t xml:space="preserve">Petitioners </w:t>
      </w:r>
      <w:r w:rsidR="007F6F49">
        <w:t>next</w:t>
      </w:r>
      <w:r w:rsidR="007F6F49" w:rsidRPr="001276F4">
        <w:t xml:space="preserve"> </w:t>
      </w:r>
      <w:r w:rsidRPr="001276F4">
        <w:t xml:space="preserve">argue that the Commission failed to subject CP2 LNG’s </w:t>
      </w:r>
      <w:r w:rsidR="00717E5A">
        <w:t>post-final EIS air modeling</w:t>
      </w:r>
      <w:r w:rsidR="00717E5A" w:rsidRPr="001276F4">
        <w:t xml:space="preserve"> </w:t>
      </w:r>
      <w:r w:rsidRPr="001276F4">
        <w:t>analysis to independent verification.</w:t>
      </w:r>
      <w:r w:rsidRPr="001276F4">
        <w:rPr>
          <w:b/>
          <w:vertAlign w:val="superscript"/>
        </w:rPr>
        <w:footnoteReference w:id="355"/>
      </w:r>
      <w:r w:rsidRPr="001276F4">
        <w:t xml:space="preserve">  Petitioners assert that the Commission failed to independently evaluate the information provided by the application for use in its environmental review or scrutinize CP2 LNG’s modeling inputs or protocols, and simply accepted CP2 LNG’s modeling.</w:t>
      </w:r>
      <w:r w:rsidRPr="001276F4">
        <w:rPr>
          <w:b/>
          <w:vertAlign w:val="superscript"/>
        </w:rPr>
        <w:footnoteReference w:id="356"/>
      </w:r>
    </w:p>
    <w:p w14:paraId="12CB8C30" w14:textId="77777777" w:rsidR="00E420EB" w:rsidRPr="001276F4" w:rsidRDefault="00717E5A" w:rsidP="00835178">
      <w:pPr>
        <w:pStyle w:val="FERCparanumber"/>
      </w:pPr>
      <w:r>
        <w:t>As an initial matter, because the Commission</w:t>
      </w:r>
      <w:r w:rsidR="005B3E9F">
        <w:t>, following the Authorization Order,</w:t>
      </w:r>
      <w:r>
        <w:t xml:space="preserve"> requested updated cumulative air </w:t>
      </w:r>
      <w:r w:rsidR="00443125">
        <w:t>modeling,</w:t>
      </w:r>
      <w:r>
        <w:t xml:space="preserve"> engaged in supplemental NEPA</w:t>
      </w:r>
      <w:r w:rsidR="00443125">
        <w:t>,</w:t>
      </w:r>
      <w:r>
        <w:t xml:space="preserve"> and provided the public and interested parties sufficient time to </w:t>
      </w:r>
      <w:r w:rsidR="00AB59A9">
        <w:t xml:space="preserve">meaningfully participate and </w:t>
      </w:r>
      <w:r>
        <w:t xml:space="preserve">comment </w:t>
      </w:r>
      <w:r w:rsidR="00443125">
        <w:t>on the underlying data and the Commission’s interpretation of that data</w:t>
      </w:r>
      <w:r>
        <w:t>, we find Petitioners’ arguments moot</w:t>
      </w:r>
      <w:r w:rsidR="00443125">
        <w:t>.</w:t>
      </w:r>
      <w:r w:rsidR="00AB59A9">
        <w:rPr>
          <w:rStyle w:val="FootnoteReference"/>
        </w:rPr>
        <w:footnoteReference w:id="357"/>
      </w:r>
      <w:r w:rsidR="00443125">
        <w:t xml:space="preserve"> </w:t>
      </w:r>
      <w:r w:rsidR="00EC4A0A">
        <w:t xml:space="preserve"> Nevertheless, </w:t>
      </w:r>
      <w:r w:rsidR="00AB59A9" w:rsidRPr="001276F4">
        <w:t>Petitioners’ argument here overlooks the fact that the Commission independently reviews air modeling submitted by applicants and, to the extent there are any questions regarding the underlying data or conclusions, Commission staff may issue data requests.</w:t>
      </w:r>
      <w:r w:rsidR="00AB59A9" w:rsidRPr="001276F4">
        <w:rPr>
          <w:b/>
          <w:vertAlign w:val="superscript"/>
        </w:rPr>
        <w:footnoteReference w:id="358"/>
      </w:r>
      <w:r w:rsidR="00AB59A9" w:rsidRPr="001276F4">
        <w:t xml:space="preserve">  Moreover, Rule 2005 of the Commission’s Rules provides that, by signing a filing submitted to the Commission, the signer is certifying that “the contents are true as stated, to the best knowledge and belief of the signer” and that the “facts alleged in any filing need not be verified, unless verification is </w:t>
      </w:r>
      <w:r w:rsidR="00AB59A9" w:rsidRPr="001276F4">
        <w:lastRenderedPageBreak/>
        <w:t>required by statute, rule, or order.”</w:t>
      </w:r>
      <w:r w:rsidR="00AB59A9" w:rsidRPr="001276F4">
        <w:rPr>
          <w:b/>
          <w:bCs/>
          <w:vertAlign w:val="superscript"/>
        </w:rPr>
        <w:footnoteReference w:id="359"/>
      </w:r>
      <w:r w:rsidR="00AB59A9" w:rsidRPr="001276F4">
        <w:t xml:space="preserve">  Generalized claims, like Petitioners’ assertions regarding the veracity of Venture Global’s statements and representations before the Commission, unsupported by specific evidence, are insufficient to rebut record evidence.</w:t>
      </w:r>
      <w:r w:rsidR="00AB59A9" w:rsidRPr="001276F4">
        <w:rPr>
          <w:b/>
          <w:vertAlign w:val="superscript"/>
        </w:rPr>
        <w:footnoteReference w:id="360"/>
      </w:r>
      <w:r w:rsidR="00AB59A9" w:rsidRPr="001276F4">
        <w:t xml:space="preserve">  Here, in the absence of any evidence casting doubt on the veracity of Venture Global’s statements, filings, and representations, we accept them and find the totality of the record evidence sufficient to support our conclusions.</w:t>
      </w:r>
      <w:r w:rsidR="00AB59A9" w:rsidRPr="001276F4">
        <w:rPr>
          <w:b/>
          <w:vertAlign w:val="superscript"/>
        </w:rPr>
        <w:footnoteReference w:id="361"/>
      </w:r>
      <w:r w:rsidR="00AB59A9" w:rsidRPr="001276F4">
        <w:t xml:space="preserve">  </w:t>
      </w:r>
    </w:p>
    <w:p w14:paraId="25CDC2F0" w14:textId="77777777" w:rsidR="00FE294E" w:rsidRDefault="00FE294E" w:rsidP="006034A0">
      <w:pPr>
        <w:pStyle w:val="Heading2"/>
      </w:pPr>
      <w:r>
        <w:t>Conclusion</w:t>
      </w:r>
    </w:p>
    <w:p w14:paraId="61BC3F30" w14:textId="77777777" w:rsidR="00FE294E" w:rsidRPr="00FE294E" w:rsidRDefault="00595B6B" w:rsidP="00FE294E">
      <w:pPr>
        <w:pStyle w:val="FERCparanumber"/>
      </w:pPr>
      <w:r w:rsidRPr="00595B6B">
        <w:t>We have reviewed the information and analysis contained in the final EIS</w:t>
      </w:r>
      <w:r>
        <w:t xml:space="preserve"> and final supplemental EIS</w:t>
      </w:r>
      <w:r w:rsidRPr="00595B6B">
        <w:t xml:space="preserve">, as well as other information in the record, regarding the potential environmental effects of the </w:t>
      </w:r>
      <w:r>
        <w:t>P</w:t>
      </w:r>
      <w:r w:rsidRPr="00595B6B">
        <w:t xml:space="preserve">rojects.  We </w:t>
      </w:r>
      <w:r>
        <w:t xml:space="preserve">continue to </w:t>
      </w:r>
      <w:r w:rsidRPr="00595B6B">
        <w:t xml:space="preserve">accept the environmental </w:t>
      </w:r>
      <w:r w:rsidRPr="00595B6B">
        <w:lastRenderedPageBreak/>
        <w:t>recommendations in the final EIS,</w:t>
      </w:r>
      <w:r w:rsidR="000E0788">
        <w:rPr>
          <w:rStyle w:val="FootnoteReference"/>
        </w:rPr>
        <w:footnoteReference w:id="362"/>
      </w:r>
      <w:r w:rsidRPr="00595B6B">
        <w:t xml:space="preserve"> as modified in the </w:t>
      </w:r>
      <w:r w:rsidR="005528A2">
        <w:t>Authorization Order.</w:t>
      </w:r>
      <w:r w:rsidR="00C1646F">
        <w:rPr>
          <w:rStyle w:val="FootnoteReference"/>
        </w:rPr>
        <w:footnoteReference w:id="363"/>
      </w:r>
      <w:r w:rsidRPr="00595B6B">
        <w:t xml:space="preserve">  Based on our consideration of this information, as supplemented or clarified herein,</w:t>
      </w:r>
      <w:r w:rsidRPr="00595B6B">
        <w:rPr>
          <w:b/>
          <w:vertAlign w:val="superscript"/>
        </w:rPr>
        <w:footnoteReference w:id="364"/>
      </w:r>
      <w:r w:rsidRPr="00595B6B">
        <w:t xml:space="preserve"> we agree with the conclusions presented in the final EIS</w:t>
      </w:r>
      <w:r>
        <w:t xml:space="preserve"> and final supplemental EIS</w:t>
      </w:r>
      <w:r w:rsidRPr="00595B6B">
        <w:t xml:space="preserve"> and find that the </w:t>
      </w:r>
      <w:r>
        <w:t>P</w:t>
      </w:r>
      <w:r w:rsidRPr="00595B6B">
        <w:t xml:space="preserve">rojects, if implemented as described in the applications and in compliance with the environmental conditions </w:t>
      </w:r>
      <w:r w:rsidR="00256BEB">
        <w:t xml:space="preserve">appended </w:t>
      </w:r>
      <w:r w:rsidRPr="00595B6B">
        <w:t xml:space="preserve">to </w:t>
      </w:r>
      <w:r w:rsidR="000E0788">
        <w:t>the Authorization Order</w:t>
      </w:r>
      <w:r w:rsidRPr="00595B6B">
        <w:t>, are environmentally acceptable actions.</w:t>
      </w:r>
    </w:p>
    <w:p w14:paraId="0DD0F1A7" w14:textId="77777777" w:rsidR="000E0788" w:rsidRPr="00FE294E" w:rsidRDefault="00962E9F" w:rsidP="006330F0">
      <w:pPr>
        <w:pStyle w:val="FERCparanumber"/>
        <w:tabs>
          <w:tab w:val="left" w:pos="1350"/>
          <w:tab w:val="left" w:pos="1440"/>
        </w:tabs>
        <w:spacing w:after="240"/>
      </w:pPr>
      <w:r>
        <w:t>For the reasons discussed above, and in the Authorization Order and Rehearing Order, we continue to find that the CP2 LNG Project is not inconsistent with the public interest.</w:t>
      </w:r>
      <w:r w:rsidR="003A7298">
        <w:rPr>
          <w:rStyle w:val="FootnoteReference"/>
        </w:rPr>
        <w:footnoteReference w:id="365"/>
      </w:r>
      <w:r w:rsidR="00075B26">
        <w:t xml:space="preserve">  </w:t>
      </w:r>
      <w:r w:rsidR="00256BEB">
        <w:t>Moreover, t</w:t>
      </w:r>
      <w:r>
        <w:t xml:space="preserve">he CP Express Pipeline Project will enable CP Express to transport domestically sourced natural gas to the CP2 LNG terminal for export.  </w:t>
      </w:r>
      <w:r w:rsidR="00256BEB">
        <w:t>As explained in the Authorization Order and Rehearing Order, w</w:t>
      </w:r>
      <w:r>
        <w:t>e find that CP Express has demonstrated a need for the project, that the project will not have adverse economic impacts on existing shippers or other pipelines and their existing customers, and that the project will have minimal impacts on the interests of landowners and surrounding communities.  Additionally, as noted above</w:t>
      </w:r>
      <w:r w:rsidR="00256BEB">
        <w:t xml:space="preserve"> and in the Authorization Order and Rehearing Order</w:t>
      </w:r>
      <w:r>
        <w:t xml:space="preserve">, the </w:t>
      </w:r>
      <w:r w:rsidR="00F006EA">
        <w:t xml:space="preserve">CP Express </w:t>
      </w:r>
      <w:r w:rsidR="004A1DA0">
        <w:t>P</w:t>
      </w:r>
      <w:r>
        <w:t xml:space="preserve">roject is an environmentally acceptable action.  Based on the discussion above, </w:t>
      </w:r>
      <w:r w:rsidR="00256BEB">
        <w:t xml:space="preserve">in the Authorization Order, and in the Rehearing Order </w:t>
      </w:r>
      <w:r>
        <w:t xml:space="preserve">we </w:t>
      </w:r>
      <w:r w:rsidR="003A7298">
        <w:t xml:space="preserve">continue to </w:t>
      </w:r>
      <w:r>
        <w:t xml:space="preserve">conclude under section 7 of the NGA that the public convenience and necessity requires approval of the CP Express Pipeline Project, subject to the conditions in </w:t>
      </w:r>
      <w:r w:rsidR="00256BEB">
        <w:t>the Authorization Order</w:t>
      </w:r>
      <w:r>
        <w:t>.</w:t>
      </w:r>
      <w:r w:rsidR="003A7298">
        <w:rPr>
          <w:rStyle w:val="FootnoteReference"/>
        </w:rPr>
        <w:footnoteReference w:id="366"/>
      </w:r>
    </w:p>
    <w:p w14:paraId="23D345A6" w14:textId="77777777" w:rsidR="009F5931" w:rsidRDefault="008455DE" w:rsidP="003A17EC">
      <w:pPr>
        <w:pStyle w:val="Heading1"/>
      </w:pPr>
      <w:r>
        <w:t>Construction Authorizations</w:t>
      </w:r>
    </w:p>
    <w:p w14:paraId="7B23AAB2" w14:textId="77777777" w:rsidR="0097438F" w:rsidRDefault="0097438F" w:rsidP="00141D6F">
      <w:pPr>
        <w:pStyle w:val="FERCparanumber"/>
      </w:pPr>
      <w:r>
        <w:t xml:space="preserve">As discussed below, </w:t>
      </w:r>
      <w:r w:rsidR="00E06A2B">
        <w:t>wi</w:t>
      </w:r>
      <w:r>
        <w:t xml:space="preserve">th the issuance of this order, the rehearing requests in this proceeding are no longer pending, and the Commission has issued its full merits orders on rehearing, without changing the authorization for the Projects.  </w:t>
      </w:r>
      <w:r w:rsidR="0080647F">
        <w:t xml:space="preserve">The Authorization </w:t>
      </w:r>
      <w:r w:rsidR="0080647F">
        <w:lastRenderedPageBreak/>
        <w:t xml:space="preserve">Order remains in full force and effect, and </w:t>
      </w:r>
      <w:r>
        <w:t>no further withholding of construction authorizations is required.</w:t>
      </w:r>
    </w:p>
    <w:p w14:paraId="2258741D" w14:textId="77777777" w:rsidR="00141D6F" w:rsidRDefault="007676E3" w:rsidP="00141D6F">
      <w:pPr>
        <w:pStyle w:val="FERCparanumber"/>
      </w:pPr>
      <w:r>
        <w:t xml:space="preserve">Venture Global </w:t>
      </w:r>
      <w:r w:rsidR="00AF60D7">
        <w:t>claims that</w:t>
      </w:r>
      <w:r>
        <w:t xml:space="preserve"> the Commission </w:t>
      </w:r>
      <w:r w:rsidR="00E67260">
        <w:t xml:space="preserve">improperly </w:t>
      </w:r>
      <w:r w:rsidR="00D17C77">
        <w:t>withh</w:t>
      </w:r>
      <w:r w:rsidR="00E67260">
        <w:t>eld</w:t>
      </w:r>
      <w:r w:rsidR="00D17C77">
        <w:t xml:space="preserve"> </w:t>
      </w:r>
      <w:r w:rsidR="00030810">
        <w:t>authorization</w:t>
      </w:r>
      <w:r w:rsidR="006F1194">
        <w:t>s</w:t>
      </w:r>
      <w:r w:rsidR="00030810">
        <w:t xml:space="preserve"> to proceed with construction of the Projects until the Commission issues its </w:t>
      </w:r>
      <w:r w:rsidR="00D14156">
        <w:t>further merits order.</w:t>
      </w:r>
      <w:r w:rsidR="00D14156">
        <w:rPr>
          <w:rStyle w:val="FootnoteReference"/>
        </w:rPr>
        <w:footnoteReference w:id="367"/>
      </w:r>
      <w:r w:rsidR="00323100">
        <w:t xml:space="preserve">  </w:t>
      </w:r>
      <w:r w:rsidR="00A33DDE">
        <w:t xml:space="preserve">Specifically, </w:t>
      </w:r>
      <w:r w:rsidR="004F0905">
        <w:t>Venture</w:t>
      </w:r>
      <w:r w:rsidR="008321EC">
        <w:t xml:space="preserve"> Global </w:t>
      </w:r>
      <w:r w:rsidR="00CB210A">
        <w:t>argues</w:t>
      </w:r>
      <w:r w:rsidR="00AF5324">
        <w:t xml:space="preserve"> that</w:t>
      </w:r>
      <w:r w:rsidR="007C3905">
        <w:t xml:space="preserve"> withholding construction authorizations</w:t>
      </w:r>
      <w:r w:rsidR="008321EC">
        <w:t>:</w:t>
      </w:r>
      <w:r w:rsidR="00970433">
        <w:t xml:space="preserve">  </w:t>
      </w:r>
      <w:r w:rsidR="008321EC">
        <w:t>(1)</w:t>
      </w:r>
      <w:r w:rsidR="00CB210A">
        <w:t xml:space="preserve"> </w:t>
      </w:r>
      <w:r w:rsidR="00761C85">
        <w:t xml:space="preserve">contradicts statements </w:t>
      </w:r>
      <w:r w:rsidR="00E377EB">
        <w:t>the Commission has made</w:t>
      </w:r>
      <w:r w:rsidR="007C262A">
        <w:t>;</w:t>
      </w:r>
      <w:r w:rsidR="007C262A">
        <w:rPr>
          <w:rStyle w:val="FootnoteReference"/>
        </w:rPr>
        <w:footnoteReference w:id="368"/>
      </w:r>
      <w:r w:rsidR="007C262A">
        <w:t xml:space="preserve"> </w:t>
      </w:r>
      <w:r w:rsidR="00F231B4">
        <w:t>(2)</w:t>
      </w:r>
      <w:r w:rsidR="00554BA6">
        <w:t xml:space="preserve"> </w:t>
      </w:r>
      <w:r w:rsidR="00554BA6" w:rsidRPr="0007716C">
        <w:t>undermine</w:t>
      </w:r>
      <w:r w:rsidR="00554BA6">
        <w:t>s</w:t>
      </w:r>
      <w:r w:rsidR="00554BA6" w:rsidRPr="0007716C">
        <w:t xml:space="preserve"> </w:t>
      </w:r>
      <w:r w:rsidR="00360E93">
        <w:t>the</w:t>
      </w:r>
      <w:r w:rsidR="00554BA6" w:rsidRPr="0007716C">
        <w:t xml:space="preserve"> Authorization Order</w:t>
      </w:r>
      <w:r w:rsidR="00E56A5A">
        <w:t xml:space="preserve"> </w:t>
      </w:r>
      <w:r w:rsidR="00E56A5A" w:rsidRPr="00E56A5A">
        <w:t>without weighing the consequences</w:t>
      </w:r>
      <w:r w:rsidR="00E56A5A">
        <w:t xml:space="preserve"> or providing </w:t>
      </w:r>
      <w:r w:rsidR="008B4E94">
        <w:t>legal justification</w:t>
      </w:r>
      <w:r w:rsidR="00554BA6">
        <w:t>;</w:t>
      </w:r>
      <w:r w:rsidR="0007716C" w:rsidRPr="0007716C">
        <w:rPr>
          <w:b/>
          <w:vertAlign w:val="superscript"/>
        </w:rPr>
        <w:footnoteReference w:id="369"/>
      </w:r>
      <w:r w:rsidR="00360E93">
        <w:t xml:space="preserve"> (3) </w:t>
      </w:r>
      <w:r w:rsidR="0007716C" w:rsidRPr="0007716C">
        <w:t>will harm</w:t>
      </w:r>
      <w:r w:rsidR="008B4E94">
        <w:t xml:space="preserve"> Venture Global</w:t>
      </w:r>
      <w:r w:rsidR="0007716C" w:rsidRPr="0007716C">
        <w:t xml:space="preserve"> by </w:t>
      </w:r>
      <w:r w:rsidR="008B4E94">
        <w:t>delaying</w:t>
      </w:r>
      <w:r w:rsidR="0007716C" w:rsidRPr="0007716C">
        <w:t xml:space="preserve"> construction</w:t>
      </w:r>
      <w:r w:rsidR="0011032E">
        <w:t>, caus</w:t>
      </w:r>
      <w:r w:rsidR="00266147">
        <w:t xml:space="preserve">ing it </w:t>
      </w:r>
      <w:r w:rsidR="00020D7F" w:rsidRPr="0007716C">
        <w:t>to incur significant costs</w:t>
      </w:r>
      <w:r w:rsidR="00602622">
        <w:t>;</w:t>
      </w:r>
      <w:r w:rsidR="0007716C" w:rsidRPr="0007716C">
        <w:rPr>
          <w:b/>
          <w:vertAlign w:val="superscript"/>
        </w:rPr>
        <w:footnoteReference w:id="370"/>
      </w:r>
      <w:r w:rsidR="0007716C" w:rsidRPr="0007716C">
        <w:t xml:space="preserve"> </w:t>
      </w:r>
      <w:r w:rsidR="00602622">
        <w:t xml:space="preserve">and (4) </w:t>
      </w:r>
      <w:r w:rsidR="0007716C" w:rsidRPr="0007716C">
        <w:t>deprive global markets and U.S. allies access to LNG</w:t>
      </w:r>
      <w:r w:rsidR="0007716C" w:rsidRPr="0007716C">
        <w:rPr>
          <w:b/>
          <w:vertAlign w:val="superscript"/>
        </w:rPr>
        <w:footnoteReference w:id="371"/>
      </w:r>
      <w:r w:rsidR="0007716C" w:rsidRPr="0007716C">
        <w:t xml:space="preserve"> </w:t>
      </w:r>
      <w:r w:rsidR="009D7028">
        <w:t>a</w:t>
      </w:r>
      <w:r w:rsidR="000333C9">
        <w:t xml:space="preserve">nd </w:t>
      </w:r>
      <w:r w:rsidR="0007716C" w:rsidRPr="0007716C">
        <w:t>dela</w:t>
      </w:r>
      <w:r w:rsidR="009D7028">
        <w:t>y</w:t>
      </w:r>
      <w:r w:rsidR="00A66C96">
        <w:t>s</w:t>
      </w:r>
      <w:r w:rsidR="0007716C" w:rsidRPr="0007716C">
        <w:t xml:space="preserve"> domestic benefits </w:t>
      </w:r>
      <w:r w:rsidR="00D706E7">
        <w:t xml:space="preserve">such as </w:t>
      </w:r>
      <w:r w:rsidR="005F1AEA">
        <w:t xml:space="preserve">employment and taxes </w:t>
      </w:r>
      <w:r w:rsidR="0007716C" w:rsidRPr="0007716C">
        <w:t>from the project.</w:t>
      </w:r>
      <w:r w:rsidR="0007716C" w:rsidRPr="0007716C">
        <w:rPr>
          <w:b/>
          <w:vertAlign w:val="superscript"/>
        </w:rPr>
        <w:footnoteReference w:id="372"/>
      </w:r>
      <w:r w:rsidR="0007716C" w:rsidRPr="0007716C">
        <w:t xml:space="preserve">   </w:t>
      </w:r>
    </w:p>
    <w:p w14:paraId="366B4358" w14:textId="77777777" w:rsidR="003206F6" w:rsidRDefault="00F51D23">
      <w:pPr>
        <w:pStyle w:val="FERCparanumber"/>
      </w:pPr>
      <w:r>
        <w:t xml:space="preserve">Venture Global </w:t>
      </w:r>
      <w:r w:rsidR="00102624">
        <w:t>also</w:t>
      </w:r>
      <w:r>
        <w:t xml:space="preserve"> argues that the delay in construction is contrary to the Commission’s policy in Order No. 871-B developed in response to </w:t>
      </w:r>
      <w:r w:rsidRPr="003206F6">
        <w:rPr>
          <w:i/>
          <w:iCs/>
        </w:rPr>
        <w:t>Allegheny Defense Project</w:t>
      </w:r>
      <w:r>
        <w:t xml:space="preserve"> which provided for presumptive stays </w:t>
      </w:r>
      <w:r w:rsidR="00761E3A">
        <w:t xml:space="preserve">of NGA section 7 certificate orders </w:t>
      </w:r>
      <w:r>
        <w:t xml:space="preserve">for a </w:t>
      </w:r>
      <w:r w:rsidR="001E2D9E">
        <w:t>“</w:t>
      </w:r>
      <w:r>
        <w:t>limited</w:t>
      </w:r>
      <w:r w:rsidR="001E2D9E">
        <w:t xml:space="preserve"> and </w:t>
      </w:r>
      <w:r>
        <w:t>well-defined period.</w:t>
      </w:r>
      <w:r w:rsidR="001E2D9E">
        <w:t>”</w:t>
      </w:r>
      <w:r>
        <w:rPr>
          <w:rStyle w:val="FootnoteReference"/>
        </w:rPr>
        <w:footnoteReference w:id="373"/>
      </w:r>
      <w:r>
        <w:t xml:space="preserve">  Venture Global explains that the Commission’s </w:t>
      </w:r>
      <w:r w:rsidR="006409AC">
        <w:lastRenderedPageBreak/>
        <w:t>policy in Order No. 871-B</w:t>
      </w:r>
      <w:r>
        <w:t xml:space="preserve"> struck a “balance</w:t>
      </w:r>
      <w:r w:rsidRPr="003206F6">
        <w:rPr>
          <w:color w:val="000000"/>
          <w:sz w:val="23"/>
          <w:szCs w:val="23"/>
        </w:rPr>
        <w:t xml:space="preserve"> </w:t>
      </w:r>
      <w:r w:rsidRPr="00BD0491">
        <w:t>that allows aggrieved parties time to access the courts while providing project developers with a predictable time period after which construction authorizations may be permitted in the event a rehearing request remains pending before the Commissio</w:t>
      </w:r>
      <w:r>
        <w:t>n.”</w:t>
      </w:r>
      <w:r>
        <w:rPr>
          <w:rStyle w:val="FootnoteReference"/>
        </w:rPr>
        <w:footnoteReference w:id="374"/>
      </w:r>
      <w:r>
        <w:t xml:space="preserve">  In further support, Venture Global cites language in Order No. 871-B that states “a</w:t>
      </w:r>
      <w:r w:rsidRPr="00095DBB">
        <w:t xml:space="preserve">t most, any stay will last no longer than approximately </w:t>
      </w:r>
      <w:r w:rsidR="00970433">
        <w:t xml:space="preserve">           </w:t>
      </w:r>
      <w:r w:rsidRPr="00095DBB">
        <w:t>150 days following the issuance of a certificate order</w:t>
      </w:r>
      <w:r>
        <w:t>.”</w:t>
      </w:r>
      <w:r>
        <w:rPr>
          <w:rStyle w:val="FootnoteReference"/>
        </w:rPr>
        <w:footnoteReference w:id="375"/>
      </w:r>
    </w:p>
    <w:p w14:paraId="4C035365" w14:textId="77777777" w:rsidR="008455DE" w:rsidRDefault="005F79D2" w:rsidP="00B2167A">
      <w:pPr>
        <w:pStyle w:val="FERCparanumber"/>
      </w:pPr>
      <w:r>
        <w:t xml:space="preserve">In the alternative, Venture Global argues that authorizations </w:t>
      </w:r>
      <w:r w:rsidRPr="00D157A9">
        <w:t xml:space="preserve">for activities that are not associated with </w:t>
      </w:r>
      <w:r>
        <w:t>“</w:t>
      </w:r>
      <w:r w:rsidRPr="00D157A9">
        <w:t>an air emission</w:t>
      </w:r>
      <w:r>
        <w:t xml:space="preserve">s </w:t>
      </w:r>
      <w:r w:rsidRPr="00D157A9">
        <w:t>unit</w:t>
      </w:r>
      <w:r>
        <w:t>”</w:t>
      </w:r>
      <w:r w:rsidRPr="00D157A9">
        <w:t xml:space="preserve"> and do not present potential cumulative air impact concerns should move forward.</w:t>
      </w:r>
      <w:r>
        <w:rPr>
          <w:rStyle w:val="FootnoteReference"/>
        </w:rPr>
        <w:footnoteReference w:id="376"/>
      </w:r>
      <w:r>
        <w:t xml:space="preserve">  It asserts that such activities do no implicate matters under review in the supplemental NEPA </w:t>
      </w:r>
      <w:r w:rsidR="00A62165">
        <w:t>process</w:t>
      </w:r>
      <w:r>
        <w:t xml:space="preserve"> and should not be halted.</w:t>
      </w:r>
      <w:r>
        <w:rPr>
          <w:rStyle w:val="FootnoteReference"/>
        </w:rPr>
        <w:footnoteReference w:id="377"/>
      </w:r>
      <w:r>
        <w:t xml:space="preserve">  Venture Global asserts that many of the current requests for authorization pending before the Commission have no cumulative air impact implications, including </w:t>
      </w:r>
      <w:r w:rsidRPr="0075301A">
        <w:t xml:space="preserve">survey work, site mobilization and preparation, soil stabilization, test pile programs, staging of various equipment, </w:t>
      </w:r>
      <w:r>
        <w:t xml:space="preserve">and </w:t>
      </w:r>
      <w:r w:rsidRPr="0075301A">
        <w:t>installing temporary utilities</w:t>
      </w:r>
      <w:r>
        <w:t>.</w:t>
      </w:r>
      <w:r>
        <w:rPr>
          <w:rStyle w:val="FootnoteReference"/>
        </w:rPr>
        <w:footnoteReference w:id="378"/>
      </w:r>
      <w:r>
        <w:t xml:space="preserve">  Moreover, Venture Global maintains</w:t>
      </w:r>
      <w:r w:rsidR="00C63891">
        <w:t xml:space="preserve"> </w:t>
      </w:r>
      <w:r>
        <w:t>that many of these activities do not constitute “construction” and are outside the scope of the Rehearing Order’s construction authorization prohibition.</w:t>
      </w:r>
      <w:r>
        <w:rPr>
          <w:rStyle w:val="FootnoteReference"/>
        </w:rPr>
        <w:footnoteReference w:id="379"/>
      </w:r>
      <w:r>
        <w:t xml:space="preserve">  Thus, Venture Global asserts that the Commission should allow authorizations of these activities to help mitigate the delay in construction and harm to Venture Global, its customers, and the public.</w:t>
      </w:r>
      <w:r>
        <w:rPr>
          <w:rStyle w:val="FootnoteReference"/>
        </w:rPr>
        <w:footnoteReference w:id="380"/>
      </w:r>
      <w:r w:rsidR="006D70EA">
        <w:t xml:space="preserve">  </w:t>
      </w:r>
      <w:r w:rsidR="00246FBA">
        <w:t xml:space="preserve">Venture Global further asserts that the Commission’s position here is inconsistent with other proceedings where the Commission is conducting supplemental </w:t>
      </w:r>
      <w:r w:rsidR="00246FBA">
        <w:lastRenderedPageBreak/>
        <w:t>NEPA without halting construction activities.</w:t>
      </w:r>
      <w:r w:rsidR="00246FBA">
        <w:rPr>
          <w:rStyle w:val="FootnoteReference"/>
        </w:rPr>
        <w:footnoteReference w:id="381"/>
      </w:r>
      <w:r w:rsidR="00246FBA">
        <w:t xml:space="preserve">  For example, it points to the Commission’s approach in </w:t>
      </w:r>
      <w:r w:rsidR="00246FBA">
        <w:rPr>
          <w:i/>
          <w:iCs/>
        </w:rPr>
        <w:t xml:space="preserve">City of </w:t>
      </w:r>
      <w:r w:rsidR="00246FBA" w:rsidRPr="00B542A7">
        <w:rPr>
          <w:i/>
          <w:iCs/>
        </w:rPr>
        <w:t>Port Isabel</w:t>
      </w:r>
      <w:r w:rsidR="00246FBA">
        <w:t xml:space="preserve"> </w:t>
      </w:r>
      <w:r w:rsidR="00246FBA" w:rsidRPr="00B542A7">
        <w:t>wherein</w:t>
      </w:r>
      <w:r w:rsidR="00246FBA">
        <w:t xml:space="preserve"> the Commission ordered supplemental NEPA in response to the D.C. Circuit’s remand and vacatur, without a halt in construction activities, and has granted authorizations to proceed with construction for underground piping.</w:t>
      </w:r>
      <w:r w:rsidR="00246FBA">
        <w:rPr>
          <w:rStyle w:val="FootnoteReference"/>
        </w:rPr>
        <w:footnoteReference w:id="382"/>
      </w:r>
      <w:r w:rsidR="00246FBA">
        <w:t xml:space="preserve">  Venture Global also points to </w:t>
      </w:r>
      <w:r w:rsidR="00246FBA">
        <w:rPr>
          <w:i/>
          <w:iCs/>
        </w:rPr>
        <w:t>Healthy Gulf</w:t>
      </w:r>
      <w:r w:rsidR="00246FBA">
        <w:t>, where the court remanded the Commission’s orders without vacatur and the Commission has ordered supplemental NEPA without stating that no construction authorizations would be granted.</w:t>
      </w:r>
      <w:r w:rsidR="00246FBA">
        <w:rPr>
          <w:rStyle w:val="FootnoteReference"/>
        </w:rPr>
        <w:footnoteReference w:id="383"/>
      </w:r>
      <w:r w:rsidR="00246FBA">
        <w:t xml:space="preserve">  Venture Global avers that because </w:t>
      </w:r>
      <w:r w:rsidR="00246FBA">
        <w:rPr>
          <w:i/>
          <w:iCs/>
        </w:rPr>
        <w:t>Healthy Gulf</w:t>
      </w:r>
      <w:r w:rsidR="00246FBA">
        <w:t xml:space="preserve"> was the reason the Commission decided to conduct supplemental NEPA, the Commission should also allow </w:t>
      </w:r>
      <w:r w:rsidR="00246FBA" w:rsidRPr="00054D44">
        <w:t>construction to proceed</w:t>
      </w:r>
      <w:r w:rsidR="00246FBA">
        <w:t xml:space="preserve"> here</w:t>
      </w:r>
      <w:r w:rsidR="00246FBA" w:rsidRPr="00054D44">
        <w:t xml:space="preserve"> while </w:t>
      </w:r>
      <w:r w:rsidR="00246FBA">
        <w:t xml:space="preserve">it </w:t>
      </w:r>
      <w:r w:rsidR="00246FBA" w:rsidRPr="00054D44">
        <w:t>conducts supplemental NEPA review</w:t>
      </w:r>
      <w:r w:rsidR="00246FBA">
        <w:t>.</w:t>
      </w:r>
      <w:r w:rsidR="00246FBA">
        <w:rPr>
          <w:rStyle w:val="FootnoteReference"/>
        </w:rPr>
        <w:footnoteReference w:id="384"/>
      </w:r>
      <w:r w:rsidR="00246FBA">
        <w:t xml:space="preserve">  </w:t>
      </w:r>
    </w:p>
    <w:p w14:paraId="36A32E05" w14:textId="77777777" w:rsidR="00EB4261" w:rsidRDefault="00781654" w:rsidP="00C6667C">
      <w:pPr>
        <w:pStyle w:val="FERCparanumber"/>
        <w:spacing w:after="240"/>
      </w:pPr>
      <w:bookmarkStart w:id="3" w:name="_Ref173400376"/>
      <w:r>
        <w:t>As an initial matter</w:t>
      </w:r>
      <w:r w:rsidR="00F200C9">
        <w:t>, because we are issuing this order, the Commission’s</w:t>
      </w:r>
      <w:r w:rsidR="00714A33">
        <w:t xml:space="preserve"> </w:t>
      </w:r>
      <w:r w:rsidR="0035450F">
        <w:t>condition</w:t>
      </w:r>
      <w:r w:rsidR="00A87F49">
        <w:t xml:space="preserve"> </w:t>
      </w:r>
      <w:r w:rsidR="00324670">
        <w:t xml:space="preserve">in the Rehearing Order </w:t>
      </w:r>
      <w:r w:rsidR="00A87F49">
        <w:t xml:space="preserve">that it would </w:t>
      </w:r>
      <w:r w:rsidR="00B851F0">
        <w:t>withhold authorizations to proceed with construction until such further merits order was issued</w:t>
      </w:r>
      <w:r w:rsidR="00714A33">
        <w:t xml:space="preserve"> has now been satisfied and we find Venture Global’s assertions moot.</w:t>
      </w:r>
      <w:r w:rsidR="0035450F">
        <w:rPr>
          <w:rStyle w:val="FootnoteReference"/>
        </w:rPr>
        <w:footnoteReference w:id="385"/>
      </w:r>
      <w:r w:rsidR="00714A33">
        <w:t xml:space="preserve">  </w:t>
      </w:r>
      <w:r w:rsidR="00371528">
        <w:t xml:space="preserve">In any event, </w:t>
      </w:r>
      <w:r w:rsidR="00FC5F5E">
        <w:t>we disagree</w:t>
      </w:r>
      <w:r w:rsidR="00DB5558">
        <w:t xml:space="preserve"> with Venture Global’s contentions</w:t>
      </w:r>
      <w:r w:rsidR="00EB4261">
        <w:t xml:space="preserve">.  </w:t>
      </w:r>
      <w:r w:rsidR="00320626">
        <w:t xml:space="preserve">While Venture Global argues that it is ready to proceed with “early works” and should be allowed to proceed with </w:t>
      </w:r>
      <w:r w:rsidR="00F106A4">
        <w:t>limited activities that do not implicate air emissions</w:t>
      </w:r>
      <w:r w:rsidR="00381F5C">
        <w:t xml:space="preserve">, </w:t>
      </w:r>
      <w:r w:rsidR="00320626" w:rsidRPr="00320626">
        <w:t xml:space="preserve">at the time of issuance of this order, </w:t>
      </w:r>
      <w:r w:rsidR="00C912BC">
        <w:t xml:space="preserve">it </w:t>
      </w:r>
      <w:r w:rsidR="00320626" w:rsidRPr="00320626">
        <w:t xml:space="preserve">has not </w:t>
      </w:r>
      <w:r w:rsidR="00C912BC">
        <w:t>yet satisfied</w:t>
      </w:r>
      <w:r w:rsidR="00320626" w:rsidRPr="00320626">
        <w:t xml:space="preserve"> Environmental Condition 10 of the Authorization Order</w:t>
      </w:r>
      <w:r w:rsidR="005D273A">
        <w:t>,</w:t>
      </w:r>
      <w:r w:rsidR="003F2F5C">
        <w:rPr>
          <w:rStyle w:val="FootnoteReference"/>
        </w:rPr>
        <w:footnoteReference w:id="386"/>
      </w:r>
      <w:r w:rsidR="00320626" w:rsidRPr="00320626">
        <w:t xml:space="preserve"> which requires that it obtain all necessary </w:t>
      </w:r>
      <w:r w:rsidR="00320626" w:rsidRPr="00320626">
        <w:lastRenderedPageBreak/>
        <w:t xml:space="preserve">permits </w:t>
      </w:r>
      <w:r w:rsidR="00711D61">
        <w:t xml:space="preserve">and satisfy all preconstruction requirements </w:t>
      </w:r>
      <w:r w:rsidR="00320626" w:rsidRPr="00320626">
        <w:t>prior to receiving authorization to proceed with construction.</w:t>
      </w:r>
      <w:r w:rsidR="005D273A">
        <w:rPr>
          <w:rStyle w:val="FootnoteReference"/>
        </w:rPr>
        <w:footnoteReference w:id="387"/>
      </w:r>
      <w:r w:rsidR="00EB4261">
        <w:t xml:space="preserve">  </w:t>
      </w:r>
    </w:p>
    <w:p w14:paraId="2D2957F9" w14:textId="77777777" w:rsidR="0086282B" w:rsidRDefault="009229DE" w:rsidP="0086282B">
      <w:pPr>
        <w:pStyle w:val="FERCparanumber"/>
        <w:spacing w:after="240"/>
      </w:pPr>
      <w:r>
        <w:t>Moreover,</w:t>
      </w:r>
      <w:r w:rsidR="00CB4196">
        <w:t xml:space="preserve"> </w:t>
      </w:r>
      <w:r w:rsidR="008628BA">
        <w:t xml:space="preserve">by </w:t>
      </w:r>
      <w:r w:rsidR="00AA685B">
        <w:t xml:space="preserve">providing </w:t>
      </w:r>
      <w:r w:rsidR="004866D2">
        <w:t xml:space="preserve">that </w:t>
      </w:r>
      <w:r w:rsidR="008A48EE" w:rsidRPr="008A48EE">
        <w:t xml:space="preserve">no authorization to proceed with construction </w:t>
      </w:r>
      <w:r w:rsidR="00371528">
        <w:t>would</w:t>
      </w:r>
      <w:r w:rsidR="008A48EE" w:rsidRPr="008A48EE">
        <w:t xml:space="preserve"> be issued</w:t>
      </w:r>
      <w:r w:rsidR="00371528">
        <w:t xml:space="preserve"> </w:t>
      </w:r>
      <w:r w:rsidR="008A48EE" w:rsidRPr="008A48EE">
        <w:t>until the Commission issues a further merits order</w:t>
      </w:r>
      <w:r w:rsidR="008A48EE">
        <w:t xml:space="preserve">, the Commission was exercising authority </w:t>
      </w:r>
      <w:r w:rsidR="0086282B">
        <w:t>it</w:t>
      </w:r>
      <w:r w:rsidR="00CB4196">
        <w:t xml:space="preserve"> </w:t>
      </w:r>
      <w:r w:rsidR="00DF7556">
        <w:t>retains</w:t>
      </w:r>
      <w:r w:rsidR="0086282B">
        <w:t xml:space="preserve"> under the Authorization Order:</w:t>
      </w:r>
    </w:p>
    <w:p w14:paraId="2620C35A" w14:textId="77777777" w:rsidR="0086282B" w:rsidRDefault="0086282B" w:rsidP="0086282B">
      <w:pPr>
        <w:pStyle w:val="FERCparanumber"/>
        <w:numPr>
          <w:ilvl w:val="0"/>
          <w:numId w:val="0"/>
        </w:numPr>
        <w:spacing w:after="240"/>
        <w:ind w:left="1440" w:right="1440"/>
      </w:pPr>
      <w:r w:rsidRPr="00FC3FE5">
        <w:t>Only when satisfied that the applicant has complied with all applicable conditions will a notice to proceed with the activity to which the conditions are relevant be issued.  We also note that the Commission has the authority to take whatever steps are necessary to ensure the protection of life, health, property, and environmental resources during construction and operation of the project, including authority to impose any additional measures deemed necessary to ensure continued compliance with the intent of the conditions of the order, as well as the avoidance or mitigation of unforeseen adverse environmental impacts resulting from project construction and operation</w:t>
      </w:r>
      <w:r>
        <w:t>.</w:t>
      </w:r>
      <w:r>
        <w:rPr>
          <w:rStyle w:val="FootnoteReference"/>
        </w:rPr>
        <w:footnoteReference w:id="388"/>
      </w:r>
    </w:p>
    <w:p w14:paraId="51F309A5" w14:textId="77777777" w:rsidR="005127AE" w:rsidRDefault="0086282B" w:rsidP="0008692D">
      <w:pPr>
        <w:pStyle w:val="FERCparanumber"/>
        <w:numPr>
          <w:ilvl w:val="0"/>
          <w:numId w:val="0"/>
        </w:numPr>
        <w:spacing w:after="240"/>
      </w:pPr>
      <w:r>
        <w:t>Consistent with this authority, the Commission took the necessary steps</w:t>
      </w:r>
      <w:r w:rsidR="00E819FC" w:rsidRPr="00E819FC">
        <w:t xml:space="preserve"> </w:t>
      </w:r>
      <w:r w:rsidR="00E819FC">
        <w:t xml:space="preserve">to ensure </w:t>
      </w:r>
      <w:r w:rsidR="00E819FC" w:rsidRPr="00E819FC">
        <w:t xml:space="preserve">compliance with the intent of the conditions of the </w:t>
      </w:r>
      <w:r w:rsidR="00E819FC">
        <w:t>Authorization Order</w:t>
      </w:r>
      <w:r>
        <w:t xml:space="preserve"> by withholding construction authorizations until completion of supplemental NEPA.</w:t>
      </w:r>
      <w:r w:rsidR="006F616B">
        <w:rPr>
          <w:rStyle w:val="FootnoteReference"/>
        </w:rPr>
        <w:footnoteReference w:id="389"/>
      </w:r>
      <w:r>
        <w:t xml:space="preserve">  </w:t>
      </w:r>
      <w:r w:rsidR="00641843">
        <w:t xml:space="preserve">Further, </w:t>
      </w:r>
      <w:r w:rsidR="00F45750">
        <w:t xml:space="preserve">as </w:t>
      </w:r>
      <w:r w:rsidR="00F45750">
        <w:lastRenderedPageBreak/>
        <w:t xml:space="preserve">discussed above, </w:t>
      </w:r>
      <w:r w:rsidR="003C6C7A" w:rsidRPr="003C6C7A">
        <w:t xml:space="preserve">NEPA requires that the agency must undertake its environmental review before making critical decisions which may result in the commitment of resources to action which </w:t>
      </w:r>
      <w:r w:rsidR="00865FDD">
        <w:t>may</w:t>
      </w:r>
      <w:r w:rsidR="00865FDD" w:rsidRPr="003C6C7A">
        <w:t xml:space="preserve"> </w:t>
      </w:r>
      <w:r w:rsidR="003C6C7A" w:rsidRPr="003C6C7A">
        <w:t>significantly affect the environment</w:t>
      </w:r>
      <w:r w:rsidR="003C6C7A">
        <w:t>.</w:t>
      </w:r>
      <w:r w:rsidR="003C6C7A">
        <w:rPr>
          <w:rStyle w:val="FootnoteReference"/>
        </w:rPr>
        <w:footnoteReference w:id="390"/>
      </w:r>
      <w:r w:rsidR="003C6C7A">
        <w:t xml:space="preserve"> </w:t>
      </w:r>
      <w:r w:rsidR="003C6C7A" w:rsidRPr="003C6C7A">
        <w:t xml:space="preserve"> </w:t>
      </w:r>
      <w:r w:rsidR="00547458">
        <w:t>Accordingly</w:t>
      </w:r>
      <w:r w:rsidR="00CB4196">
        <w:t xml:space="preserve">, we </w:t>
      </w:r>
      <w:r w:rsidR="00547458">
        <w:t xml:space="preserve">also </w:t>
      </w:r>
      <w:r w:rsidR="00DB5558">
        <w:t>find</w:t>
      </w:r>
      <w:r w:rsidR="00CB4196">
        <w:t xml:space="preserve"> </w:t>
      </w:r>
      <w:r>
        <w:t xml:space="preserve">the Commission’s action to withhold construction </w:t>
      </w:r>
      <w:r w:rsidR="00C07458">
        <w:t xml:space="preserve">under these circumstances consistent with </w:t>
      </w:r>
      <w:r w:rsidR="00631462">
        <w:t>the Authorization Order</w:t>
      </w:r>
      <w:r w:rsidR="00547458">
        <w:t xml:space="preserve"> </w:t>
      </w:r>
      <w:r w:rsidR="00631462">
        <w:t xml:space="preserve">and </w:t>
      </w:r>
      <w:r>
        <w:t>NEPA.</w:t>
      </w:r>
      <w:r w:rsidR="00547458">
        <w:rPr>
          <w:rStyle w:val="FootnoteReference"/>
        </w:rPr>
        <w:footnoteReference w:id="391"/>
      </w:r>
      <w:r w:rsidR="00547458">
        <w:t xml:space="preserve"> </w:t>
      </w:r>
      <w:r w:rsidR="00CB4196">
        <w:t xml:space="preserve"> </w:t>
      </w:r>
    </w:p>
    <w:bookmarkEnd w:id="3"/>
    <w:p w14:paraId="73C5D063" w14:textId="77777777" w:rsidR="005D1BCD" w:rsidRDefault="00D44FCC" w:rsidP="0008692D">
      <w:pPr>
        <w:pStyle w:val="FERCparanumber"/>
        <w:spacing w:after="240"/>
      </w:pPr>
      <w:r>
        <w:t>Venture Global’s argument</w:t>
      </w:r>
      <w:r w:rsidR="00612571">
        <w:t>s</w:t>
      </w:r>
      <w:r w:rsidR="009A468A">
        <w:t xml:space="preserve"> </w:t>
      </w:r>
      <w:r w:rsidR="005B0FF1">
        <w:t>that</w:t>
      </w:r>
      <w:r>
        <w:t xml:space="preserve"> </w:t>
      </w:r>
      <w:r w:rsidR="009A468A">
        <w:t>withholding</w:t>
      </w:r>
      <w:r>
        <w:t xml:space="preserve"> construction authorizations</w:t>
      </w:r>
      <w:r w:rsidR="009B6097">
        <w:t xml:space="preserve"> </w:t>
      </w:r>
      <w:r w:rsidR="009A468A">
        <w:t>is inc</w:t>
      </w:r>
      <w:r w:rsidR="0027706B">
        <w:t>onsistent with</w:t>
      </w:r>
      <w:r>
        <w:t xml:space="preserve"> the Commission’s </w:t>
      </w:r>
      <w:r w:rsidR="0027706B">
        <w:t xml:space="preserve">Order Denying Stay and </w:t>
      </w:r>
      <w:r w:rsidR="008B379E">
        <w:t xml:space="preserve">the Commission’s </w:t>
      </w:r>
      <w:r>
        <w:t>statement that the Authorization Order remains in full force and effect</w:t>
      </w:r>
      <w:r w:rsidR="00BE01E1">
        <w:t xml:space="preserve"> </w:t>
      </w:r>
      <w:r w:rsidR="006D323D">
        <w:t>fail to acknowledge</w:t>
      </w:r>
      <w:r w:rsidR="00F3575A">
        <w:t xml:space="preserve"> </w:t>
      </w:r>
      <w:r w:rsidR="006D323D">
        <w:t>important</w:t>
      </w:r>
      <w:r w:rsidR="00F3575A">
        <w:t xml:space="preserve"> distinction</w:t>
      </w:r>
      <w:r w:rsidR="006D323D">
        <w:t>s</w:t>
      </w:r>
      <w:r w:rsidR="00F3575A">
        <w:t xml:space="preserve"> between </w:t>
      </w:r>
      <w:r w:rsidR="007F2B0E">
        <w:t xml:space="preserve">a stay of an authorization and </w:t>
      </w:r>
      <w:r w:rsidR="005E05BA">
        <w:t>withholding construction</w:t>
      </w:r>
      <w:r w:rsidR="00D818A7">
        <w:t xml:space="preserve"> authorization</w:t>
      </w:r>
      <w:r>
        <w:t>.</w:t>
      </w:r>
      <w:r>
        <w:rPr>
          <w:rStyle w:val="FootnoteReference"/>
        </w:rPr>
        <w:footnoteReference w:id="392"/>
      </w:r>
      <w:r>
        <w:t xml:space="preserve">  </w:t>
      </w:r>
      <w:r w:rsidR="00126D6D">
        <w:t>In the Order Denying Stay, the Commission declined to stay</w:t>
      </w:r>
      <w:r w:rsidR="0060504B">
        <w:t xml:space="preserve"> the Authorization Order </w:t>
      </w:r>
      <w:r w:rsidR="00F35D8E">
        <w:t xml:space="preserve">for </w:t>
      </w:r>
      <w:r w:rsidR="008D4977">
        <w:t>an undefined period of time</w:t>
      </w:r>
      <w:r w:rsidR="0029328D">
        <w:t xml:space="preserve"> </w:t>
      </w:r>
      <w:r w:rsidR="0029328D" w:rsidRPr="0029328D">
        <w:t>pending judicial review</w:t>
      </w:r>
      <w:r w:rsidR="008D4977">
        <w:t>.</w:t>
      </w:r>
      <w:r w:rsidR="00867A81">
        <w:rPr>
          <w:rStyle w:val="FootnoteReference"/>
        </w:rPr>
        <w:footnoteReference w:id="393"/>
      </w:r>
      <w:r w:rsidR="000B724D">
        <w:t xml:space="preserve">  </w:t>
      </w:r>
      <w:r w:rsidR="00C46483">
        <w:t xml:space="preserve">Further, </w:t>
      </w:r>
      <w:r w:rsidR="009C6FDF">
        <w:t>a stay can operate as to the entirety of an authorization,</w:t>
      </w:r>
      <w:r w:rsidR="009F4957">
        <w:rPr>
          <w:rStyle w:val="FootnoteReference"/>
        </w:rPr>
        <w:footnoteReference w:id="394"/>
      </w:r>
      <w:r w:rsidR="009C6FDF">
        <w:t xml:space="preserve"> </w:t>
      </w:r>
      <w:r w:rsidR="00C368D8">
        <w:t xml:space="preserve">while </w:t>
      </w:r>
      <w:r w:rsidR="004F3683">
        <w:t xml:space="preserve">a decision to withhold </w:t>
      </w:r>
      <w:r w:rsidR="004F3683">
        <w:lastRenderedPageBreak/>
        <w:t>construction authorizations</w:t>
      </w:r>
      <w:r w:rsidR="00163534">
        <w:t xml:space="preserve"> is more narrow.</w:t>
      </w:r>
      <w:r w:rsidR="005075BC">
        <w:t xml:space="preserve"> </w:t>
      </w:r>
      <w:r w:rsidR="00FF4A58">
        <w:t xml:space="preserve"> </w:t>
      </w:r>
      <w:r w:rsidR="00561E81">
        <w:t>Accordingly, the Commission</w:t>
      </w:r>
      <w:r w:rsidR="00C15A6D">
        <w:t xml:space="preserve"> appropriately explained that it</w:t>
      </w:r>
      <w:r w:rsidR="00404ABB">
        <w:t xml:space="preserve"> “r</w:t>
      </w:r>
      <w:r w:rsidR="00561E81" w:rsidRPr="003673D9">
        <w:t>emains confident in th</w:t>
      </w:r>
      <w:r w:rsidR="00404ABB">
        <w:t>[e]</w:t>
      </w:r>
      <w:r w:rsidR="00561E81" w:rsidRPr="003673D9">
        <w:t xml:space="preserve"> authorization, which is why, </w:t>
      </w:r>
      <w:r w:rsidR="00561E81" w:rsidRPr="003673D9">
        <w:rPr>
          <w:i/>
          <w:iCs/>
        </w:rPr>
        <w:t>except as otherwise discussed herein</w:t>
      </w:r>
      <w:r w:rsidR="00561E81" w:rsidRPr="003673D9">
        <w:t>, the Authorization Order remain</w:t>
      </w:r>
      <w:r w:rsidR="00CB46AA">
        <w:t>[ed]</w:t>
      </w:r>
      <w:r w:rsidR="00561E81" w:rsidRPr="003673D9">
        <w:t xml:space="preserve"> in full force and effect</w:t>
      </w:r>
      <w:r w:rsidR="00561E81">
        <w:t>.”</w:t>
      </w:r>
      <w:r w:rsidR="00A8348C">
        <w:rPr>
          <w:rStyle w:val="FootnoteReference"/>
        </w:rPr>
        <w:footnoteReference w:id="395"/>
      </w:r>
      <w:r w:rsidR="00561E81">
        <w:t xml:space="preserve">  </w:t>
      </w:r>
    </w:p>
    <w:p w14:paraId="06D850D1" w14:textId="77777777" w:rsidR="00C46CF0" w:rsidRDefault="007F5C60" w:rsidP="00BC5263">
      <w:pPr>
        <w:pStyle w:val="FERCparanumber"/>
      </w:pPr>
      <w:r>
        <w:t>Finally, we reject Venture Global’s comparisons to</w:t>
      </w:r>
      <w:r w:rsidR="00FD7599">
        <w:t xml:space="preserve"> the Commission’s procedures on remand in</w:t>
      </w:r>
      <w:r>
        <w:t xml:space="preserve"> </w:t>
      </w:r>
      <w:r w:rsidR="00A253B1">
        <w:rPr>
          <w:i/>
          <w:iCs/>
        </w:rPr>
        <w:t>Healthy Gulf</w:t>
      </w:r>
      <w:r w:rsidR="00A253B1">
        <w:t xml:space="preserve"> and </w:t>
      </w:r>
      <w:r w:rsidR="00A253B1">
        <w:rPr>
          <w:i/>
          <w:iCs/>
        </w:rPr>
        <w:t>City of Port Isabel</w:t>
      </w:r>
      <w:r w:rsidR="00242581" w:rsidRPr="00242581">
        <w:t>.</w:t>
      </w:r>
      <w:r w:rsidR="00242581">
        <w:rPr>
          <w:rStyle w:val="FootnoteReference"/>
        </w:rPr>
        <w:footnoteReference w:id="396"/>
      </w:r>
      <w:r w:rsidR="00242581">
        <w:t xml:space="preserve">  </w:t>
      </w:r>
      <w:r w:rsidR="00090720">
        <w:t xml:space="preserve">Unlike </w:t>
      </w:r>
      <w:r w:rsidR="00F724A7">
        <w:t xml:space="preserve">in </w:t>
      </w:r>
      <w:r w:rsidR="00090720">
        <w:t>those proceedings</w:t>
      </w:r>
      <w:r w:rsidR="00C46CF0">
        <w:t xml:space="preserve">, construction of the Projects </w:t>
      </w:r>
      <w:r w:rsidR="00F724A7">
        <w:t>here</w:t>
      </w:r>
      <w:r w:rsidR="00C46CF0">
        <w:t xml:space="preserve"> has not begun, </w:t>
      </w:r>
      <w:r w:rsidR="00CF2EEE">
        <w:t xml:space="preserve">and at the time of the Rehearing Order, </w:t>
      </w:r>
      <w:r w:rsidR="00C46CF0">
        <w:t xml:space="preserve">Commission </w:t>
      </w:r>
      <w:r w:rsidR="00CF2EEE">
        <w:t>action was not yet final</w:t>
      </w:r>
      <w:r w:rsidR="005609AB">
        <w:t xml:space="preserve">, </w:t>
      </w:r>
      <w:r w:rsidR="00643C3E">
        <w:t xml:space="preserve">thereby allowing the Commission to </w:t>
      </w:r>
      <w:r w:rsidR="00C46CF0">
        <w:t xml:space="preserve">supplement its NEPA review prior to </w:t>
      </w:r>
      <w:r w:rsidR="001B5C33">
        <w:t>authorizing</w:t>
      </w:r>
      <w:r w:rsidR="00C46CF0">
        <w:t xml:space="preserve"> construction activities</w:t>
      </w:r>
      <w:r w:rsidR="00643C3E">
        <w:t>,</w:t>
      </w:r>
      <w:r w:rsidR="00C46CF0">
        <w:t xml:space="preserve"> which is consistent with NEPA</w:t>
      </w:r>
      <w:r w:rsidR="003B40D3">
        <w:t>, as explained in the Rehearing Order and above.</w:t>
      </w:r>
      <w:r w:rsidR="00C46CF0">
        <w:rPr>
          <w:rStyle w:val="FootnoteReference"/>
        </w:rPr>
        <w:footnoteReference w:id="397"/>
      </w:r>
      <w:r w:rsidR="00C46CF0">
        <w:t xml:space="preserve">  </w:t>
      </w:r>
    </w:p>
    <w:p w14:paraId="33A1164D" w14:textId="77777777" w:rsidR="000F0D7A" w:rsidRDefault="000F0D7A" w:rsidP="00BC5263">
      <w:pPr>
        <w:pStyle w:val="FERCparanumber"/>
      </w:pPr>
      <w:r>
        <w:t xml:space="preserve">Last, Venture Global </w:t>
      </w:r>
      <w:r w:rsidR="000567AA">
        <w:t xml:space="preserve">requests that the Commission clarify that Order No. 871-B’s </w:t>
      </w:r>
      <w:r w:rsidR="005D0F70" w:rsidRPr="005D0F70">
        <w:t>delay in construction authorizations will</w:t>
      </w:r>
      <w:r w:rsidR="005D0F70">
        <w:t xml:space="preserve"> not a</w:t>
      </w:r>
      <w:r w:rsidR="005D0F70" w:rsidRPr="005D0F70">
        <w:t xml:space="preserve">pply again following issuance of </w:t>
      </w:r>
      <w:r w:rsidR="005D0F70">
        <w:t>this order.</w:t>
      </w:r>
      <w:r w:rsidR="005D0F70">
        <w:rPr>
          <w:rStyle w:val="FootnoteReference"/>
        </w:rPr>
        <w:footnoteReference w:id="398"/>
      </w:r>
      <w:r w:rsidR="004B431C">
        <w:t xml:space="preserve">  It avers that this order should be considered a supplemental order </w:t>
      </w:r>
      <w:r w:rsidR="004B431C" w:rsidRPr="004B431C">
        <w:t>that implements the original authorization, rendering the presumptive stay policy inapplicable</w:t>
      </w:r>
      <w:r w:rsidR="004B431C">
        <w:t>.</w:t>
      </w:r>
      <w:r w:rsidR="004B431C">
        <w:rPr>
          <w:rStyle w:val="FootnoteReference"/>
        </w:rPr>
        <w:footnoteReference w:id="399"/>
      </w:r>
      <w:r w:rsidR="008B25C6">
        <w:t xml:space="preserve">  Venture Global maintains that any </w:t>
      </w:r>
      <w:r w:rsidR="00E905A3">
        <w:t>further rehearing requests would not implicate the Authorization Order</w:t>
      </w:r>
      <w:r w:rsidR="00524633">
        <w:t xml:space="preserve"> and any further delay would cause additional harm </w:t>
      </w:r>
      <w:r w:rsidR="00837BCE">
        <w:t>to Venture Global.</w:t>
      </w:r>
      <w:r w:rsidR="00837BCE">
        <w:rPr>
          <w:rStyle w:val="FootnoteReference"/>
        </w:rPr>
        <w:footnoteReference w:id="400"/>
      </w:r>
    </w:p>
    <w:p w14:paraId="45E1608A" w14:textId="77777777" w:rsidR="00793845" w:rsidRPr="008455DE" w:rsidRDefault="00343117" w:rsidP="00F90C58">
      <w:pPr>
        <w:pStyle w:val="FERCparanumber"/>
      </w:pPr>
      <w:r>
        <w:lastRenderedPageBreak/>
        <w:t xml:space="preserve">We </w:t>
      </w:r>
      <w:r w:rsidR="006B1DD2">
        <w:t>agree</w:t>
      </w:r>
      <w:r w:rsidR="00A64738">
        <w:t>.</w:t>
      </w:r>
      <w:r w:rsidR="006B1DD2">
        <w:t xml:space="preserve"> </w:t>
      </w:r>
      <w:r w:rsidR="00C455CB">
        <w:t xml:space="preserve">Neither the presumptive stay in </w:t>
      </w:r>
      <w:r w:rsidR="00D37622">
        <w:t>Order No. 871-B</w:t>
      </w:r>
      <w:r w:rsidR="00C455CB">
        <w:t xml:space="preserve"> nor the Commission’s regulations barring </w:t>
      </w:r>
      <w:r w:rsidR="00F6475F">
        <w:t>construction for a limited period pending rehearing</w:t>
      </w:r>
      <w:r w:rsidR="00803DB5">
        <w:t xml:space="preserve"> will</w:t>
      </w:r>
      <w:r w:rsidR="006B1DD2">
        <w:t xml:space="preserve"> apply upon issuance of this order.</w:t>
      </w:r>
      <w:r w:rsidR="00F4100C">
        <w:rPr>
          <w:rStyle w:val="FootnoteReference"/>
        </w:rPr>
        <w:footnoteReference w:id="401"/>
      </w:r>
      <w:r w:rsidR="00F4100C">
        <w:t xml:space="preserve">  </w:t>
      </w:r>
    </w:p>
    <w:p w14:paraId="72415C6E" w14:textId="77777777" w:rsidR="001276F4" w:rsidRDefault="001276F4" w:rsidP="00FA780B">
      <w:r w:rsidRPr="00CD0B38">
        <w:rPr>
          <w:u w:val="single"/>
        </w:rPr>
        <w:t>The Commission orders</w:t>
      </w:r>
      <w:r w:rsidRPr="00CD0B38">
        <w:t>:</w:t>
      </w:r>
    </w:p>
    <w:p w14:paraId="5083E10B" w14:textId="77777777" w:rsidR="001276F4" w:rsidRDefault="001276F4" w:rsidP="00FA780B"/>
    <w:p w14:paraId="6E5D5137" w14:textId="77777777" w:rsidR="001276F4" w:rsidRDefault="007D0943" w:rsidP="001276F4">
      <w:pPr>
        <w:pStyle w:val="ListParagraph"/>
        <w:numPr>
          <w:ilvl w:val="0"/>
          <w:numId w:val="23"/>
        </w:numPr>
        <w:spacing w:after="260"/>
        <w:contextualSpacing w:val="0"/>
      </w:pPr>
      <w:r>
        <w:t>In response to Petitioners’</w:t>
      </w:r>
      <w:r w:rsidR="009D15F2">
        <w:t xml:space="preserve"> request for rehearing, the Authorization Order </w:t>
      </w:r>
      <w:r w:rsidR="00D62793">
        <w:t>is</w:t>
      </w:r>
      <w:r w:rsidR="009D15F2">
        <w:t xml:space="preserve"> hereby modified as discussed in the body of this order.</w:t>
      </w:r>
    </w:p>
    <w:p w14:paraId="0D018C3E" w14:textId="77777777" w:rsidR="001276F4" w:rsidRPr="00CD0B38" w:rsidRDefault="009D15F2" w:rsidP="00FA780B">
      <w:pPr>
        <w:pStyle w:val="ListParagraph"/>
        <w:numPr>
          <w:ilvl w:val="0"/>
          <w:numId w:val="23"/>
        </w:numPr>
        <w:spacing w:after="260"/>
        <w:contextualSpacing w:val="0"/>
      </w:pPr>
      <w:r>
        <w:t>In response to Venture Global’s request for rehearing</w:t>
      </w:r>
      <w:r w:rsidR="003F544C">
        <w:t xml:space="preserve"> and clarification</w:t>
      </w:r>
      <w:r>
        <w:t xml:space="preserve">, </w:t>
      </w:r>
      <w:r w:rsidR="003F544C">
        <w:t xml:space="preserve">the Rehearing </w:t>
      </w:r>
      <w:r w:rsidR="003E7635">
        <w:t>Order</w:t>
      </w:r>
      <w:r w:rsidR="003F544C">
        <w:t xml:space="preserve"> is hereby modified as discussed in the body of this order.</w:t>
      </w:r>
    </w:p>
    <w:p w14:paraId="0F6DD150" w14:textId="77777777" w:rsidR="001276F4" w:rsidRDefault="001276F4" w:rsidP="00FA780B">
      <w:r w:rsidRPr="00CD0B38">
        <w:t>By the Commission.</w:t>
      </w:r>
      <w:r w:rsidR="005B4CF1">
        <w:t xml:space="preserve">  Commissioner Chang is not participating.</w:t>
      </w:r>
    </w:p>
    <w:p w14:paraId="030392AD" w14:textId="77777777" w:rsidR="00887261" w:rsidRDefault="00887261" w:rsidP="00FA780B"/>
    <w:p w14:paraId="3B1EBB8F" w14:textId="77777777" w:rsidR="00887261" w:rsidRDefault="00887261" w:rsidP="00887261">
      <w:pPr>
        <w:widowControl/>
      </w:pPr>
      <w:r w:rsidRPr="00887261">
        <w:t>( S E A L )</w:t>
      </w:r>
    </w:p>
    <w:p w14:paraId="250E2615" w14:textId="77777777" w:rsidR="00887261" w:rsidRDefault="00887261" w:rsidP="00887261">
      <w:pPr>
        <w:widowControl/>
      </w:pPr>
    </w:p>
    <w:p w14:paraId="2AD7C8E6" w14:textId="77777777" w:rsidR="00887261" w:rsidRDefault="00887261" w:rsidP="00887261">
      <w:pPr>
        <w:widowControl/>
      </w:pPr>
    </w:p>
    <w:p w14:paraId="3342EE28" w14:textId="77777777" w:rsidR="00887261" w:rsidRPr="00887261" w:rsidRDefault="00887261" w:rsidP="00887261">
      <w:pPr>
        <w:widowControl/>
        <w:ind w:firstLine="2606"/>
        <w:jc w:val="center"/>
      </w:pPr>
      <w:r w:rsidRPr="00887261">
        <w:t>Debbie-Anne A. Reese,</w:t>
      </w:r>
    </w:p>
    <w:p w14:paraId="29B73CC4" w14:textId="77777777" w:rsidR="00887261" w:rsidRPr="00887261" w:rsidRDefault="00887261" w:rsidP="00887261">
      <w:pPr>
        <w:widowControl/>
        <w:ind w:firstLine="2606"/>
        <w:jc w:val="center"/>
      </w:pPr>
      <w:r w:rsidRPr="00887261">
        <w:t>Secretary.</w:t>
      </w:r>
    </w:p>
    <w:p w14:paraId="75A2E292" w14:textId="77777777" w:rsidR="00887261" w:rsidRPr="00CD0B38" w:rsidRDefault="00887261" w:rsidP="00887261">
      <w:pPr>
        <w:widowControl/>
      </w:pPr>
    </w:p>
    <w:p w14:paraId="04DB0429" w14:textId="77777777" w:rsidR="001276F4" w:rsidRPr="00401A63" w:rsidRDefault="001276F4" w:rsidP="00401A63"/>
    <w:p w14:paraId="613B5BF4" w14:textId="77777777" w:rsidR="00FF32A1" w:rsidRPr="0003382F" w:rsidRDefault="00FF32A1" w:rsidP="000D7E4E">
      <w:pPr>
        <w:pStyle w:val="FootnoteText"/>
        <w:ind w:firstLine="0"/>
      </w:pPr>
    </w:p>
    <w:sectPr w:rsidR="00FF32A1" w:rsidRPr="0003382F" w:rsidSect="001276F4">
      <w:headerReference w:type="even" r:id="rId12"/>
      <w:headerReference w:type="default" r:id="rId13"/>
      <w:headerReference w:type="first" r:id="rId14"/>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C96C1" w14:textId="77777777" w:rsidR="00CC7E3D" w:rsidRDefault="00CC7E3D" w:rsidP="0048020B">
      <w:r>
        <w:separator/>
      </w:r>
    </w:p>
  </w:endnote>
  <w:endnote w:type="continuationSeparator" w:id="0">
    <w:p w14:paraId="76277F42" w14:textId="77777777" w:rsidR="00CC7E3D" w:rsidRDefault="00CC7E3D" w:rsidP="0048020B">
      <w:r>
        <w:continuationSeparator/>
      </w:r>
    </w:p>
  </w:endnote>
  <w:endnote w:type="continuationNotice" w:id="1">
    <w:p w14:paraId="069AC61E" w14:textId="77777777" w:rsidR="00CC7E3D" w:rsidRDefault="00CC7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753AA" w14:textId="77777777" w:rsidR="00CC7E3D" w:rsidRDefault="00CC7E3D" w:rsidP="0048020B">
      <w:r>
        <w:separator/>
      </w:r>
    </w:p>
  </w:footnote>
  <w:footnote w:type="continuationSeparator" w:id="0">
    <w:p w14:paraId="05F29F3A" w14:textId="77777777" w:rsidR="00CC7E3D" w:rsidRDefault="00CC7E3D" w:rsidP="0048020B">
      <w:r>
        <w:continuationSeparator/>
      </w:r>
    </w:p>
  </w:footnote>
  <w:footnote w:type="continuationNotice" w:id="1">
    <w:p w14:paraId="084552B2" w14:textId="77777777" w:rsidR="00CC7E3D" w:rsidRPr="00A92462" w:rsidRDefault="00CC7E3D" w:rsidP="00A92462">
      <w:pPr>
        <w:spacing w:line="14" w:lineRule="exact"/>
        <w:rPr>
          <w:sz w:val="2"/>
        </w:rPr>
      </w:pPr>
    </w:p>
  </w:footnote>
  <w:footnote w:id="2">
    <w:p w14:paraId="0E2949C4" w14:textId="77777777" w:rsidR="001276F4" w:rsidRDefault="001276F4" w:rsidP="001276F4">
      <w:pPr>
        <w:pStyle w:val="FootnoteText"/>
      </w:pPr>
      <w:r>
        <w:rPr>
          <w:rStyle w:val="FootnoteReference"/>
        </w:rPr>
        <w:footnoteRef/>
      </w:r>
      <w:r>
        <w:t xml:space="preserve"> </w:t>
      </w:r>
      <w:r w:rsidRPr="004C0288">
        <w:rPr>
          <w:i/>
          <w:iCs/>
        </w:rPr>
        <w:t>Venture Glo</w:t>
      </w:r>
      <w:r>
        <w:rPr>
          <w:i/>
          <w:iCs/>
        </w:rPr>
        <w:t>b.</w:t>
      </w:r>
      <w:r w:rsidRPr="004C0288">
        <w:rPr>
          <w:i/>
          <w:iCs/>
        </w:rPr>
        <w:t xml:space="preserve"> CP2 LNG, LLC</w:t>
      </w:r>
      <w:r>
        <w:t xml:space="preserve">, 187 FERC ¶ 61,199 (2024) (Authorization Order).  CP2 LNG and CP Express will be referred to jointly herein as Venture Global.  The CP2 LNG Project and CP Express Pipeline Project will be referred to jointly herein as Projects.  </w:t>
      </w:r>
    </w:p>
  </w:footnote>
  <w:footnote w:id="3">
    <w:p w14:paraId="60FF9C2C" w14:textId="77777777" w:rsidR="001276F4" w:rsidRDefault="001276F4" w:rsidP="001276F4">
      <w:pPr>
        <w:pStyle w:val="FootnoteText"/>
      </w:pPr>
      <w:r>
        <w:rPr>
          <w:rStyle w:val="FootnoteReference"/>
        </w:rPr>
        <w:footnoteRef/>
      </w:r>
      <w:r>
        <w:t xml:space="preserve"> Petitioners include: A Better Bayou, Fishermen Involved in Sustaining our Heritage (FISH), Nicole Dardar, Travis Dardar, Kent Duhon, Mary Alice Nash, Jerryd Tassin, Anthony Theriot, Healthy Gulf, Louisiana Bucket Brigade, Natural Resources Defense Council, Port Arthur Community Action Network, Public Citizen, Sierra Club, Texas Campaign for the Environment, and Turtle Island Restoration Network.  We note that, in the Authorization Order, the Commission denied FISH’s late motion to intervene</w:t>
      </w:r>
      <w:r w:rsidR="005C58E4">
        <w:t>. Authorization Order, 187 FERC ¶ 61,199 at P 17</w:t>
      </w:r>
      <w:r w:rsidR="006E7C73">
        <w:t>.  That decision was sustained on</w:t>
      </w:r>
      <w:r w:rsidR="00CF072C">
        <w:t xml:space="preserve"> rehearing.  </w:t>
      </w:r>
      <w:r w:rsidR="00CF072C" w:rsidRPr="004C0288">
        <w:rPr>
          <w:i/>
          <w:iCs/>
        </w:rPr>
        <w:t>Venture Glo</w:t>
      </w:r>
      <w:r w:rsidR="00CF072C">
        <w:rPr>
          <w:i/>
          <w:iCs/>
        </w:rPr>
        <w:t>b.</w:t>
      </w:r>
      <w:r w:rsidR="00CF072C" w:rsidRPr="004C0288">
        <w:rPr>
          <w:i/>
          <w:iCs/>
        </w:rPr>
        <w:t xml:space="preserve"> CP2 LNG, LLC</w:t>
      </w:r>
      <w:r w:rsidR="00CF072C">
        <w:t xml:space="preserve">, </w:t>
      </w:r>
      <w:r w:rsidR="00CF072C" w:rsidRPr="002117BB">
        <w:t>189 FERC ¶ 61,148</w:t>
      </w:r>
      <w:r w:rsidR="00CF072C">
        <w:t xml:space="preserve">, at PP </w:t>
      </w:r>
      <w:r w:rsidR="000B3A01">
        <w:t>10-17</w:t>
      </w:r>
      <w:r w:rsidR="00CF072C">
        <w:t xml:space="preserve"> (2024) (Rehearing Order).</w:t>
      </w:r>
    </w:p>
  </w:footnote>
  <w:footnote w:id="4">
    <w:p w14:paraId="4917381F" w14:textId="77777777" w:rsidR="001276F4" w:rsidRPr="00340965" w:rsidRDefault="001276F4" w:rsidP="00887261">
      <w:pPr>
        <w:pStyle w:val="FootnoteText"/>
        <w:widowControl/>
      </w:pPr>
      <w:r>
        <w:rPr>
          <w:rStyle w:val="FootnoteReference"/>
        </w:rPr>
        <w:footnoteRef/>
      </w:r>
      <w:r>
        <w:t xml:space="preserve"> </w:t>
      </w:r>
      <w:r w:rsidR="00AD203E">
        <w:t>Petitioners also filed a m</w:t>
      </w:r>
      <w:r w:rsidR="00577FB2">
        <w:t>o</w:t>
      </w:r>
      <w:r w:rsidR="00AD203E">
        <w:t>ti</w:t>
      </w:r>
      <w:r w:rsidR="00577FB2">
        <w:t>o</w:t>
      </w:r>
      <w:r w:rsidR="00AD203E">
        <w:t>n for stay</w:t>
      </w:r>
      <w:r w:rsidR="00577FB2">
        <w:t>, which the Commission denied o</w:t>
      </w:r>
      <w:r>
        <w:t xml:space="preserve">n </w:t>
      </w:r>
      <w:r w:rsidR="00887261">
        <w:t xml:space="preserve">   </w:t>
      </w:r>
      <w:r>
        <w:t xml:space="preserve">October 1, 2024.  </w:t>
      </w:r>
      <w:bookmarkStart w:id="0" w:name="_Hlk193182560"/>
      <w:r>
        <w:rPr>
          <w:i/>
          <w:iCs/>
        </w:rPr>
        <w:t>See</w:t>
      </w:r>
      <w:r>
        <w:t xml:space="preserve"> </w:t>
      </w:r>
      <w:r w:rsidRPr="004C0288">
        <w:rPr>
          <w:i/>
          <w:iCs/>
        </w:rPr>
        <w:t>Venture Glo</w:t>
      </w:r>
      <w:r>
        <w:rPr>
          <w:i/>
          <w:iCs/>
        </w:rPr>
        <w:t>b.</w:t>
      </w:r>
      <w:r w:rsidRPr="004C0288">
        <w:rPr>
          <w:i/>
          <w:iCs/>
        </w:rPr>
        <w:t xml:space="preserve"> CP2 LNG, LLC</w:t>
      </w:r>
      <w:r>
        <w:t xml:space="preserve">, </w:t>
      </w:r>
      <w:r w:rsidRPr="00DF6282">
        <w:t>189 FERC ¶ 61,005</w:t>
      </w:r>
      <w:r>
        <w:t xml:space="preserve"> (2024) (Order Denying Stay). </w:t>
      </w:r>
      <w:bookmarkEnd w:id="0"/>
      <w:r>
        <w:t xml:space="preserve"> </w:t>
      </w:r>
    </w:p>
  </w:footnote>
  <w:footnote w:id="5">
    <w:p w14:paraId="1AD0EBEF" w14:textId="77777777" w:rsidR="00545612" w:rsidRDefault="00545612">
      <w:pPr>
        <w:pStyle w:val="FootnoteText"/>
      </w:pPr>
      <w:r>
        <w:rPr>
          <w:rStyle w:val="FootnoteReference"/>
        </w:rPr>
        <w:footnoteRef/>
      </w:r>
      <w:r>
        <w:t xml:space="preserve"> </w:t>
      </w:r>
      <w:r w:rsidRPr="007949A7">
        <w:rPr>
          <w:i/>
          <w:iCs/>
        </w:rPr>
        <w:t>Healthy Gulf v. FERC</w:t>
      </w:r>
      <w:r w:rsidRPr="007949A7">
        <w:t>, 107 F.4th 1033</w:t>
      </w:r>
      <w:r>
        <w:t xml:space="preserve"> </w:t>
      </w:r>
      <w:r w:rsidRPr="007949A7">
        <w:t>(D.C. Cir. 2024)</w:t>
      </w:r>
      <w:r w:rsidR="008C769B">
        <w:t xml:space="preserve"> </w:t>
      </w:r>
      <w:r w:rsidR="008C769B" w:rsidRPr="007949A7">
        <w:t>(</w:t>
      </w:r>
      <w:r w:rsidR="008C769B" w:rsidRPr="007949A7">
        <w:rPr>
          <w:i/>
          <w:iCs/>
        </w:rPr>
        <w:t>Healthy Gulf</w:t>
      </w:r>
      <w:r w:rsidRPr="007949A7">
        <w:t xml:space="preserve">) </w:t>
      </w:r>
      <w:r w:rsidR="00C56CA4">
        <w:t>(</w:t>
      </w:r>
      <w:r w:rsidR="006F4F5C">
        <w:t xml:space="preserve">remanding </w:t>
      </w:r>
      <w:r w:rsidR="00EB61DE">
        <w:t xml:space="preserve">the Commission’s </w:t>
      </w:r>
      <w:r w:rsidR="00EA1EAF">
        <w:t xml:space="preserve">authorization of the Commonwealth LNG </w:t>
      </w:r>
      <w:r w:rsidR="00B26E53">
        <w:t xml:space="preserve">export </w:t>
      </w:r>
      <w:r w:rsidR="0070188A">
        <w:t>terminal</w:t>
      </w:r>
      <w:r w:rsidRPr="007949A7">
        <w:t>)</w:t>
      </w:r>
      <w:r w:rsidR="00C56CA4">
        <w:t>.</w:t>
      </w:r>
      <w:r>
        <w:t xml:space="preserve"> </w:t>
      </w:r>
    </w:p>
  </w:footnote>
  <w:footnote w:id="6">
    <w:p w14:paraId="5BF7EE2A" w14:textId="77777777" w:rsidR="00E6774E" w:rsidRDefault="00E6774E">
      <w:pPr>
        <w:pStyle w:val="FootnoteText"/>
      </w:pPr>
      <w:r>
        <w:rPr>
          <w:rStyle w:val="FootnoteReference"/>
        </w:rPr>
        <w:footnoteRef/>
      </w:r>
      <w:r w:rsidR="001E5815">
        <w:t xml:space="preserve"> Rehearing Order</w:t>
      </w:r>
      <w:r w:rsidR="003D71D3">
        <w:t xml:space="preserve">, </w:t>
      </w:r>
      <w:r w:rsidR="002117BB" w:rsidRPr="002117BB">
        <w:t>189 FERC ¶ 61,148</w:t>
      </w:r>
      <w:r w:rsidR="00F76905">
        <w:t xml:space="preserve"> at PP 183-185</w:t>
      </w:r>
      <w:r w:rsidR="00ED18CD">
        <w:t xml:space="preserve"> (citing </w:t>
      </w:r>
      <w:r w:rsidR="007949A7" w:rsidRPr="007949A7">
        <w:rPr>
          <w:i/>
          <w:iCs/>
        </w:rPr>
        <w:t>Healthy Gulf</w:t>
      </w:r>
      <w:r w:rsidR="007949A7" w:rsidRPr="007949A7">
        <w:t xml:space="preserve">, </w:t>
      </w:r>
      <w:r w:rsidR="00887261">
        <w:t xml:space="preserve">             </w:t>
      </w:r>
      <w:r w:rsidR="007949A7" w:rsidRPr="007949A7">
        <w:t>107 F.4th 1033</w:t>
      </w:r>
      <w:r w:rsidR="007949A7">
        <w:t xml:space="preserve"> and </w:t>
      </w:r>
      <w:r w:rsidR="00705D46" w:rsidRPr="00705D46">
        <w:rPr>
          <w:i/>
          <w:iCs/>
        </w:rPr>
        <w:t>City of Port Isabel v. FERC</w:t>
      </w:r>
      <w:r w:rsidR="00705D46" w:rsidRPr="00705D46">
        <w:t>, 111 F.4th 1198 (D.C. Cir. 2024) (</w:t>
      </w:r>
      <w:r w:rsidR="00705D46" w:rsidRPr="00705D46">
        <w:rPr>
          <w:i/>
          <w:iCs/>
        </w:rPr>
        <w:t>City of Port Isabel</w:t>
      </w:r>
      <w:r w:rsidR="00705D46" w:rsidRPr="00705D46">
        <w:t>)</w:t>
      </w:r>
      <w:r w:rsidR="00705D46">
        <w:t>)</w:t>
      </w:r>
      <w:r w:rsidR="002B72B9">
        <w:t>.</w:t>
      </w:r>
    </w:p>
  </w:footnote>
  <w:footnote w:id="7">
    <w:p w14:paraId="51789FE4" w14:textId="77777777" w:rsidR="00243C05" w:rsidRDefault="00243C05">
      <w:pPr>
        <w:pStyle w:val="FootnoteText"/>
      </w:pPr>
      <w:r>
        <w:rPr>
          <w:rStyle w:val="FootnoteReference"/>
        </w:rPr>
        <w:footnoteRef/>
      </w:r>
      <w:r>
        <w:t xml:space="preserve"> Rehearing Order, </w:t>
      </w:r>
      <w:r w:rsidRPr="002117BB">
        <w:t>189 FERC ¶ 61,148</w:t>
      </w:r>
      <w:r>
        <w:t xml:space="preserve"> at P 186.  </w:t>
      </w:r>
    </w:p>
  </w:footnote>
  <w:footnote w:id="8">
    <w:p w14:paraId="1B9AD77B" w14:textId="77777777" w:rsidR="00B069CF" w:rsidRPr="00771200" w:rsidRDefault="00B069CF" w:rsidP="00B069CF">
      <w:pPr>
        <w:pStyle w:val="FootnoteText"/>
        <w:rPr>
          <w:szCs w:val="26"/>
          <w:lang w:val="de-DE"/>
        </w:rPr>
      </w:pPr>
      <w:r w:rsidRPr="00FB27E6">
        <w:rPr>
          <w:rStyle w:val="FootnoteReference"/>
        </w:rPr>
        <w:footnoteRef/>
      </w:r>
      <w:r w:rsidRPr="00771200">
        <w:rPr>
          <w:szCs w:val="26"/>
          <w:lang w:val="de-DE"/>
        </w:rPr>
        <w:t xml:space="preserve"> </w:t>
      </w:r>
      <w:bookmarkStart w:id="1" w:name="_Hlk47104967"/>
      <w:r w:rsidRPr="00771200">
        <w:rPr>
          <w:szCs w:val="26"/>
          <w:lang w:val="de-DE"/>
        </w:rPr>
        <w:t>964 F.3d 1 (D.C. Cir. 2020) (en banc)</w:t>
      </w:r>
      <w:r w:rsidR="00D47830">
        <w:rPr>
          <w:szCs w:val="26"/>
          <w:lang w:val="de-DE"/>
        </w:rPr>
        <w:t xml:space="preserve"> </w:t>
      </w:r>
      <w:r w:rsidR="00841978">
        <w:rPr>
          <w:szCs w:val="26"/>
          <w:lang w:val="de-DE"/>
        </w:rPr>
        <w:t>(</w:t>
      </w:r>
      <w:r w:rsidR="00841978" w:rsidRPr="00C32C06">
        <w:rPr>
          <w:i/>
          <w:iCs/>
          <w:szCs w:val="26"/>
          <w:lang w:val="de-DE"/>
        </w:rPr>
        <w:t>Allegheny Def</w:t>
      </w:r>
      <w:r w:rsidR="00AA0948">
        <w:rPr>
          <w:i/>
          <w:iCs/>
          <w:szCs w:val="26"/>
          <w:lang w:val="de-DE"/>
        </w:rPr>
        <w:t>.</w:t>
      </w:r>
      <w:r w:rsidR="00841978" w:rsidRPr="00C32C06">
        <w:rPr>
          <w:i/>
          <w:iCs/>
          <w:szCs w:val="26"/>
          <w:lang w:val="de-DE"/>
        </w:rPr>
        <w:t xml:space="preserve"> Project</w:t>
      </w:r>
      <w:r w:rsidRPr="00771200">
        <w:rPr>
          <w:szCs w:val="26"/>
          <w:lang w:val="de-DE"/>
        </w:rPr>
        <w:t>)</w:t>
      </w:r>
      <w:bookmarkEnd w:id="1"/>
      <w:r w:rsidRPr="00771200">
        <w:rPr>
          <w:szCs w:val="26"/>
          <w:lang w:val="de-DE"/>
        </w:rPr>
        <w:t>.</w:t>
      </w:r>
    </w:p>
  </w:footnote>
  <w:footnote w:id="9">
    <w:p w14:paraId="1E494182" w14:textId="77777777" w:rsidR="00B069CF" w:rsidRPr="00FB27E6" w:rsidRDefault="00B069CF" w:rsidP="00887261">
      <w:pPr>
        <w:pStyle w:val="FootnoteText"/>
        <w:widowControl/>
        <w:rPr>
          <w:szCs w:val="26"/>
        </w:rPr>
      </w:pPr>
      <w:r w:rsidRPr="00FB27E6">
        <w:rPr>
          <w:rStyle w:val="FootnoteReference"/>
        </w:rPr>
        <w:footnoteRef/>
      </w:r>
      <w:r w:rsidRPr="00FB27E6">
        <w:rPr>
          <w:szCs w:val="26"/>
        </w:rPr>
        <w:t xml:space="preserve"> 15 U.S.C. § 717r(a) (“Until the record in a proceeding shall have been filed in a court of appeals, as provided in subsection (b), the Commission may at any time, upon reasonable notice and in such manner as it shall deem proper, modify or set aside, in whole or in part, any finding or order made or issued by it under the provisions of this chapter.”).</w:t>
      </w:r>
    </w:p>
  </w:footnote>
  <w:footnote w:id="10">
    <w:p w14:paraId="7B62D810" w14:textId="77777777" w:rsidR="00EC038B" w:rsidRDefault="00EC038B" w:rsidP="00EC038B">
      <w:pPr>
        <w:pStyle w:val="FootnoteText"/>
        <w:rPr>
          <w:szCs w:val="26"/>
        </w:rPr>
      </w:pPr>
      <w:r>
        <w:rPr>
          <w:rStyle w:val="FootnoteReference"/>
        </w:rPr>
        <w:footnoteRef/>
      </w:r>
      <w:r>
        <w:rPr>
          <w:szCs w:val="26"/>
        </w:rPr>
        <w:t xml:space="preserve"> </w:t>
      </w:r>
      <w:r>
        <w:rPr>
          <w:i/>
          <w:iCs/>
          <w:szCs w:val="26"/>
        </w:rPr>
        <w:t>Allegheny Def. Project</w:t>
      </w:r>
      <w:r>
        <w:rPr>
          <w:szCs w:val="26"/>
        </w:rPr>
        <w:t xml:space="preserve">, 964 F.3d at 16-17.  </w:t>
      </w:r>
    </w:p>
  </w:footnote>
  <w:footnote w:id="11">
    <w:p w14:paraId="1A07D4BA" w14:textId="77777777" w:rsidR="00856983" w:rsidRPr="00781C9F" w:rsidRDefault="00856983" w:rsidP="00856983">
      <w:pPr>
        <w:pStyle w:val="FootnoteText"/>
      </w:pPr>
      <w:r w:rsidRPr="008836E9">
        <w:rPr>
          <w:rStyle w:val="FootnoteReference"/>
        </w:rPr>
        <w:footnoteRef/>
      </w:r>
      <w:r w:rsidRPr="00781C9F">
        <w:t xml:space="preserve"> 15 U.S.C. § 717</w:t>
      </w:r>
      <w:r>
        <w:t>b</w:t>
      </w:r>
      <w:r w:rsidRPr="00781C9F">
        <w:t>.</w:t>
      </w:r>
    </w:p>
  </w:footnote>
  <w:footnote w:id="12">
    <w:p w14:paraId="3978A13D" w14:textId="77777777" w:rsidR="00856983" w:rsidRPr="00781C9F" w:rsidRDefault="00856983" w:rsidP="00856983">
      <w:pPr>
        <w:pStyle w:val="FootnoteText"/>
      </w:pPr>
      <w:r w:rsidRPr="008836E9">
        <w:rPr>
          <w:rStyle w:val="FootnoteReference"/>
        </w:rPr>
        <w:footnoteRef/>
      </w:r>
      <w:r w:rsidRPr="00781C9F">
        <w:t xml:space="preserve"> 18 C.F.R. pt</w:t>
      </w:r>
      <w:r>
        <w:t>.</w:t>
      </w:r>
      <w:r w:rsidRPr="00781C9F">
        <w:t xml:space="preserve"> 15</w:t>
      </w:r>
      <w:r>
        <w:t>3</w:t>
      </w:r>
      <w:r w:rsidRPr="00781C9F">
        <w:t xml:space="preserve"> (20</w:t>
      </w:r>
      <w:r>
        <w:t>24</w:t>
      </w:r>
      <w:r w:rsidRPr="00781C9F">
        <w:t>).</w:t>
      </w:r>
    </w:p>
  </w:footnote>
  <w:footnote w:id="13">
    <w:p w14:paraId="63CE6771" w14:textId="77777777" w:rsidR="00856983" w:rsidRDefault="00856983" w:rsidP="00856983">
      <w:pPr>
        <w:pStyle w:val="FootnoteText"/>
      </w:pPr>
      <w:r>
        <w:rPr>
          <w:rStyle w:val="FootnoteReference"/>
        </w:rPr>
        <w:footnoteRef/>
      </w:r>
      <w:r>
        <w:t xml:space="preserve"> Authorization Order, 187 FERC ¶ 61,199 at PP 1, 5</w:t>
      </w:r>
      <w:r w:rsidR="007A2EB5">
        <w:t xml:space="preserve">; Rehearing Order, </w:t>
      </w:r>
      <w:r w:rsidR="00887261">
        <w:t xml:space="preserve">                  </w:t>
      </w:r>
      <w:r w:rsidR="007A2EB5" w:rsidRPr="002117BB">
        <w:t>189 FERC ¶ 61,148</w:t>
      </w:r>
      <w:r w:rsidR="007A2EB5">
        <w:t xml:space="preserve"> at P 3.</w:t>
      </w:r>
    </w:p>
  </w:footnote>
  <w:footnote w:id="14">
    <w:p w14:paraId="0063426E" w14:textId="77777777" w:rsidR="00856983" w:rsidRDefault="00856983" w:rsidP="00856983">
      <w:pPr>
        <w:pStyle w:val="FootnoteText"/>
      </w:pPr>
      <w:r>
        <w:rPr>
          <w:rStyle w:val="FootnoteReference"/>
        </w:rPr>
        <w:footnoteRef/>
      </w:r>
      <w:r>
        <w:t xml:space="preserve"> E</w:t>
      </w:r>
      <w:r w:rsidRPr="00F75C22">
        <w:t xml:space="preserve">ach </w:t>
      </w:r>
      <w:r>
        <w:t>phase is</w:t>
      </w:r>
      <w:r w:rsidRPr="00F75C22">
        <w:t xml:space="preserve"> designed with a nameplate liquefaction and export capacity of 10</w:t>
      </w:r>
      <w:r>
        <w:t> </w:t>
      </w:r>
      <w:r w:rsidRPr="00F75C22">
        <w:t>MTPA, and a peak achievable capacity of 14 MTPA</w:t>
      </w:r>
      <w:r>
        <w:t xml:space="preserve">.  </w:t>
      </w:r>
      <w:r w:rsidR="007A2EB5">
        <w:t xml:space="preserve">Authorization Order, 187 FERC ¶ 61,199 at </w:t>
      </w:r>
      <w:r>
        <w:t xml:space="preserve">P 6.  </w:t>
      </w:r>
    </w:p>
  </w:footnote>
  <w:footnote w:id="15">
    <w:p w14:paraId="7AF82A68" w14:textId="77777777" w:rsidR="00856983" w:rsidRPr="00167965" w:rsidRDefault="00856983" w:rsidP="00856983">
      <w:pPr>
        <w:pStyle w:val="FootnoteText"/>
      </w:pPr>
      <w:r>
        <w:rPr>
          <w:rStyle w:val="FootnoteReference"/>
        </w:rPr>
        <w:footnoteRef/>
      </w:r>
      <w:r>
        <w:t xml:space="preserve"> </w:t>
      </w:r>
      <w:r>
        <w:rPr>
          <w:i/>
          <w:iCs/>
        </w:rPr>
        <w:t>Id.</w:t>
      </w:r>
      <w:r>
        <w:t xml:space="preserve"> P 1</w:t>
      </w:r>
      <w:r w:rsidR="007A2EB5">
        <w:t xml:space="preserve">; Rehearing Order, </w:t>
      </w:r>
      <w:r w:rsidR="007A2EB5" w:rsidRPr="002117BB">
        <w:t>189 FERC ¶ 61,148</w:t>
      </w:r>
      <w:r w:rsidR="007A2EB5">
        <w:t xml:space="preserve"> at</w:t>
      </w:r>
      <w:r>
        <w:t xml:space="preserve"> </w:t>
      </w:r>
      <w:r w:rsidR="007A2EB5">
        <w:t xml:space="preserve">P 3. </w:t>
      </w:r>
      <w:r>
        <w:t xml:space="preserve"> For more specific information regarding the CP2 LNG Project, </w:t>
      </w:r>
      <w:r>
        <w:rPr>
          <w:i/>
          <w:iCs/>
        </w:rPr>
        <w:t xml:space="preserve">see </w:t>
      </w:r>
      <w:r w:rsidR="007A2EB5">
        <w:t>Authorization Order, 187 FERC ¶</w:t>
      </w:r>
      <w:r w:rsidR="00372DD6">
        <w:t> </w:t>
      </w:r>
      <w:r w:rsidR="007A2EB5">
        <w:t xml:space="preserve">61,199 at </w:t>
      </w:r>
      <w:r>
        <w:t xml:space="preserve">PP 5-9.  </w:t>
      </w:r>
    </w:p>
  </w:footnote>
  <w:footnote w:id="16">
    <w:p w14:paraId="1D7FDDAF" w14:textId="77777777" w:rsidR="00856983" w:rsidRPr="00F75C22" w:rsidRDefault="00856983" w:rsidP="00856983">
      <w:pPr>
        <w:pStyle w:val="FootnoteText"/>
      </w:pPr>
      <w:r>
        <w:rPr>
          <w:rStyle w:val="FootnoteReference"/>
        </w:rPr>
        <w:footnoteRef/>
      </w:r>
      <w:r>
        <w:t xml:space="preserve"> </w:t>
      </w:r>
      <w:r w:rsidR="001D19E1">
        <w:t>Authorization Order, 187 FERC ¶ 61,199 at</w:t>
      </w:r>
      <w:r>
        <w:t xml:space="preserve"> P 2</w:t>
      </w:r>
      <w:r w:rsidR="001D19E1">
        <w:t xml:space="preserve">; Rehearing Order, </w:t>
      </w:r>
      <w:r w:rsidR="001D19E1" w:rsidRPr="002117BB">
        <w:t>189 FERC ¶</w:t>
      </w:r>
      <w:r w:rsidR="00372DD6">
        <w:t> </w:t>
      </w:r>
      <w:r w:rsidR="001D19E1" w:rsidRPr="002117BB">
        <w:t>61,148</w:t>
      </w:r>
      <w:r w:rsidR="001D19E1">
        <w:t xml:space="preserve"> at P 3.  </w:t>
      </w:r>
    </w:p>
  </w:footnote>
  <w:footnote w:id="17">
    <w:p w14:paraId="4D6834DA" w14:textId="77777777" w:rsidR="002A7CB3" w:rsidRDefault="002A7CB3" w:rsidP="002A7CB3">
      <w:pPr>
        <w:pStyle w:val="FootnoteText"/>
      </w:pPr>
      <w:r>
        <w:rPr>
          <w:rStyle w:val="FootnoteReference"/>
        </w:rPr>
        <w:footnoteRef/>
      </w:r>
      <w:r>
        <w:t xml:space="preserve"> 15 </w:t>
      </w:r>
      <w:r w:rsidRPr="00B73047">
        <w:t xml:space="preserve">U.S.C. </w:t>
      </w:r>
      <w:r>
        <w:t>§ 717f(c).</w:t>
      </w:r>
    </w:p>
  </w:footnote>
  <w:footnote w:id="18">
    <w:p w14:paraId="31C06477" w14:textId="77777777" w:rsidR="002A7CB3" w:rsidRDefault="002A7CB3" w:rsidP="002A7CB3">
      <w:pPr>
        <w:pStyle w:val="FootnoteText"/>
      </w:pPr>
      <w:r>
        <w:rPr>
          <w:rStyle w:val="FootnoteReference"/>
        </w:rPr>
        <w:footnoteRef/>
      </w:r>
      <w:r>
        <w:t xml:space="preserve"> 18 C.F.R. pts. 157, 284 (2024).</w:t>
      </w:r>
    </w:p>
  </w:footnote>
  <w:footnote w:id="19">
    <w:p w14:paraId="3CDAF7D5" w14:textId="77777777" w:rsidR="002A7CB3" w:rsidRDefault="002A7CB3" w:rsidP="002A7CB3">
      <w:pPr>
        <w:pStyle w:val="FootnoteText"/>
      </w:pPr>
      <w:r>
        <w:rPr>
          <w:rStyle w:val="FootnoteReference"/>
        </w:rPr>
        <w:footnoteRef/>
      </w:r>
      <w:r>
        <w:t xml:space="preserve"> Authorization Order, 187 FERC ¶ 61,199 at P 1</w:t>
      </w:r>
      <w:r w:rsidR="00756F7C">
        <w:t xml:space="preserve">; Rehearing Order, </w:t>
      </w:r>
      <w:r w:rsidR="00756F7C" w:rsidRPr="002117BB">
        <w:t>189 FERC ¶</w:t>
      </w:r>
      <w:r w:rsidR="00372DD6">
        <w:t> </w:t>
      </w:r>
      <w:r w:rsidR="00756F7C" w:rsidRPr="002117BB">
        <w:t>61,148</w:t>
      </w:r>
      <w:r w:rsidR="00756F7C">
        <w:t xml:space="preserve"> at P 6.</w:t>
      </w:r>
      <w:r>
        <w:t xml:space="preserve">  For more specific information regarding the CP Express Pipeline Project, </w:t>
      </w:r>
      <w:r>
        <w:rPr>
          <w:i/>
          <w:iCs/>
        </w:rPr>
        <w:t xml:space="preserve">see </w:t>
      </w:r>
      <w:r w:rsidR="00756F7C">
        <w:t>Authorization Order, 187 FERC ¶ 61,199 at</w:t>
      </w:r>
      <w:r>
        <w:t xml:space="preserve"> PP 10-14.  </w:t>
      </w:r>
    </w:p>
  </w:footnote>
  <w:footnote w:id="20">
    <w:p w14:paraId="37626E9C" w14:textId="77777777" w:rsidR="002A7CB3" w:rsidRPr="003B4294" w:rsidRDefault="002A7CB3" w:rsidP="002A7CB3">
      <w:pPr>
        <w:pStyle w:val="FootnoteText"/>
        <w:rPr>
          <w:i/>
          <w:iCs/>
        </w:rPr>
      </w:pPr>
      <w:r>
        <w:rPr>
          <w:rStyle w:val="FootnoteReference"/>
        </w:rPr>
        <w:footnoteRef/>
      </w:r>
      <w:r>
        <w:t xml:space="preserve"> </w:t>
      </w:r>
      <w:r w:rsidR="00087BC4">
        <w:t xml:space="preserve">Authorization Order, 187 FERC ¶ 61,199 at PP 10-14; Rehearing Order, </w:t>
      </w:r>
      <w:r w:rsidR="00887261">
        <w:t xml:space="preserve">             </w:t>
      </w:r>
      <w:r w:rsidR="00087BC4" w:rsidRPr="002117BB">
        <w:t>189 FERC ¶</w:t>
      </w:r>
      <w:r w:rsidR="00372DD6">
        <w:t> </w:t>
      </w:r>
      <w:r w:rsidR="00087BC4" w:rsidRPr="002117BB">
        <w:t>61,148</w:t>
      </w:r>
      <w:r w:rsidR="00087BC4">
        <w:t xml:space="preserve"> at P 6.  </w:t>
      </w:r>
    </w:p>
  </w:footnote>
  <w:footnote w:id="21">
    <w:p w14:paraId="563A3468" w14:textId="77777777" w:rsidR="002A7CB3" w:rsidRDefault="002A7CB3" w:rsidP="002A7CB3">
      <w:pPr>
        <w:pStyle w:val="FootnoteText"/>
      </w:pPr>
      <w:r>
        <w:rPr>
          <w:rStyle w:val="FootnoteReference"/>
        </w:rPr>
        <w:footnoteRef/>
      </w:r>
      <w:r>
        <w:t xml:space="preserve"> </w:t>
      </w:r>
      <w:r w:rsidR="00782BA3">
        <w:t xml:space="preserve">Authorization Order, 187 FERC ¶ 61,199 at </w:t>
      </w:r>
      <w:r>
        <w:t>P 10</w:t>
      </w:r>
      <w:r w:rsidR="00B76EE9">
        <w:t xml:space="preserve">; Rehearing Order, </w:t>
      </w:r>
      <w:r w:rsidR="00B76EE9" w:rsidRPr="002117BB">
        <w:t>189 FERC ¶</w:t>
      </w:r>
      <w:r w:rsidR="00372DD6">
        <w:t> </w:t>
      </w:r>
      <w:r w:rsidR="00B76EE9" w:rsidRPr="002117BB">
        <w:t>61,148</w:t>
      </w:r>
      <w:r w:rsidR="00B76EE9">
        <w:t xml:space="preserve"> at P 6.  </w:t>
      </w:r>
    </w:p>
  </w:footnote>
  <w:footnote w:id="22">
    <w:p w14:paraId="11F95C8A" w14:textId="77777777" w:rsidR="004B5A3C" w:rsidRDefault="004B5A3C">
      <w:pPr>
        <w:pStyle w:val="FootnoteText"/>
      </w:pPr>
      <w:r>
        <w:rPr>
          <w:rStyle w:val="FootnoteReference"/>
        </w:rPr>
        <w:footnoteRef/>
      </w:r>
      <w:r>
        <w:t xml:space="preserve"> </w:t>
      </w:r>
      <w:r w:rsidR="00807962">
        <w:t xml:space="preserve">Authorization Order, 187 FERC ¶ 61,199 at PP 11-12.  </w:t>
      </w:r>
    </w:p>
  </w:footnote>
  <w:footnote w:id="23">
    <w:p w14:paraId="265FDD0C" w14:textId="77777777" w:rsidR="002A7CB3" w:rsidRDefault="002A7CB3" w:rsidP="00887261">
      <w:pPr>
        <w:pStyle w:val="FootnoteText"/>
        <w:widowControl/>
      </w:pPr>
      <w:r>
        <w:rPr>
          <w:rStyle w:val="FootnoteReference"/>
        </w:rPr>
        <w:footnoteRef/>
      </w:r>
      <w:r>
        <w:t xml:space="preserve"> </w:t>
      </w:r>
      <w:r w:rsidR="00F62348" w:rsidRPr="007B02D9">
        <w:rPr>
          <w:i/>
        </w:rPr>
        <w:t>Id.</w:t>
      </w:r>
      <w:r>
        <w:t xml:space="preserve"> (discussing, in detail, the proposed facilities </w:t>
      </w:r>
      <w:r w:rsidR="00E929F2">
        <w:t xml:space="preserve">for </w:t>
      </w:r>
      <w:r>
        <w:t xml:space="preserve">Phase </w:t>
      </w:r>
      <w:r w:rsidR="00845290">
        <w:t xml:space="preserve">I and </w:t>
      </w:r>
      <w:r>
        <w:t>II)</w:t>
      </w:r>
      <w:r w:rsidR="00782BA3">
        <w:t xml:space="preserve">; Rehearing Order, </w:t>
      </w:r>
      <w:r w:rsidR="00782BA3" w:rsidRPr="002117BB">
        <w:t>189 FERC ¶ 61,148</w:t>
      </w:r>
      <w:r w:rsidR="00782BA3">
        <w:t xml:space="preserve"> at P 7.  </w:t>
      </w:r>
    </w:p>
  </w:footnote>
  <w:footnote w:id="24">
    <w:p w14:paraId="46AFD0B4" w14:textId="77777777" w:rsidR="00541965" w:rsidRDefault="00541965">
      <w:pPr>
        <w:pStyle w:val="FootnoteText"/>
      </w:pPr>
      <w:r>
        <w:rPr>
          <w:rStyle w:val="FootnoteReference"/>
        </w:rPr>
        <w:footnoteRef/>
      </w:r>
      <w:r>
        <w:t xml:space="preserve"> </w:t>
      </w:r>
      <w:r w:rsidR="00CF48DA">
        <w:t xml:space="preserve">An attainment area is an area with air quality that is currently compliant with the </w:t>
      </w:r>
      <w:r w:rsidR="00F11696" w:rsidRPr="00F11696">
        <w:t>National Ambient Air Quality Standards (</w:t>
      </w:r>
      <w:r w:rsidR="00CF48DA">
        <w:t>NAAQS</w:t>
      </w:r>
      <w:r w:rsidR="00F11696" w:rsidRPr="00F11696">
        <w:t>)</w:t>
      </w:r>
      <w:r w:rsidR="00CF48DA">
        <w:t xml:space="preserve"> for a particular criteria pollutant.</w:t>
      </w:r>
      <w:r w:rsidR="003B252F">
        <w:t xml:space="preserve">  Final EIS at 4-336</w:t>
      </w:r>
      <w:r w:rsidR="009F5648">
        <w:t xml:space="preserve"> to 4-337.  </w:t>
      </w:r>
    </w:p>
  </w:footnote>
  <w:footnote w:id="25">
    <w:p w14:paraId="61E65DD5" w14:textId="77777777" w:rsidR="00A62401" w:rsidRDefault="00A62401">
      <w:pPr>
        <w:pStyle w:val="FootnoteText"/>
      </w:pPr>
      <w:r>
        <w:rPr>
          <w:rStyle w:val="FootnoteReference"/>
        </w:rPr>
        <w:footnoteRef/>
      </w:r>
      <w:r>
        <w:t xml:space="preserve"> </w:t>
      </w:r>
      <w:r w:rsidR="00E40522">
        <w:t>42 U.S.C.</w:t>
      </w:r>
      <w:r w:rsidR="00580AEC">
        <w:t xml:space="preserve"> </w:t>
      </w:r>
      <w:r w:rsidR="00CB0A05">
        <w:t xml:space="preserve">§ 7475(a)(3).  </w:t>
      </w:r>
      <w:r w:rsidRPr="00A62401">
        <w:t>NAAQS are limits on the atmospheric concentration of six pollutants, called criteria pollutants, that are harmful to public health and the environment.  The six criteria pollutants are:  carbon monoxide</w:t>
      </w:r>
      <w:r w:rsidR="00113C8F">
        <w:t xml:space="preserve"> (CO)</w:t>
      </w:r>
      <w:r w:rsidRPr="00A62401">
        <w:t>, lead</w:t>
      </w:r>
      <w:r w:rsidR="005B3668">
        <w:t xml:space="preserve"> (</w:t>
      </w:r>
      <w:r w:rsidR="00CF717C">
        <w:t>Pb)</w:t>
      </w:r>
      <w:r w:rsidRPr="00A62401">
        <w:t>, nitrogen dioxide (NO</w:t>
      </w:r>
      <w:r w:rsidRPr="00A62401">
        <w:rPr>
          <w:vertAlign w:val="subscript"/>
        </w:rPr>
        <w:t>2</w:t>
      </w:r>
      <w:r w:rsidRPr="00A62401">
        <w:t>), ozone</w:t>
      </w:r>
      <w:r w:rsidR="00CF717C">
        <w:t xml:space="preserve"> (</w:t>
      </w:r>
      <w:r w:rsidR="00CF717C">
        <w:rPr>
          <w:rFonts w:ascii="Helvetica" w:hAnsi="Helvetica"/>
          <w:color w:val="1B1B1B"/>
          <w:sz w:val="25"/>
          <w:szCs w:val="25"/>
          <w:shd w:val="clear" w:color="auto" w:fill="FFFFFF"/>
        </w:rPr>
        <w:t>O</w:t>
      </w:r>
      <w:r w:rsidR="00CF717C">
        <w:rPr>
          <w:rFonts w:ascii="Helvetica" w:hAnsi="Helvetica"/>
          <w:color w:val="1B1B1B"/>
          <w:sz w:val="19"/>
          <w:szCs w:val="19"/>
          <w:vertAlign w:val="subscript"/>
        </w:rPr>
        <w:t>3</w:t>
      </w:r>
      <w:r w:rsidR="00CF717C">
        <w:t>),</w:t>
      </w:r>
      <w:r w:rsidRPr="00A62401">
        <w:t xml:space="preserve"> particulate matter (PM), and sulfur dioxide</w:t>
      </w:r>
      <w:r w:rsidR="00113C8F">
        <w:t xml:space="preserve"> (SO</w:t>
      </w:r>
      <w:r w:rsidR="00113C8F" w:rsidRPr="000D0279">
        <w:rPr>
          <w:vertAlign w:val="subscript"/>
        </w:rPr>
        <w:t>2</w:t>
      </w:r>
      <w:r w:rsidR="00113C8F">
        <w:t>)</w:t>
      </w:r>
      <w:r w:rsidRPr="00A62401">
        <w:t>.</w:t>
      </w:r>
      <w:r w:rsidR="006500B7">
        <w:t xml:space="preserve">  </w:t>
      </w:r>
      <w:r w:rsidR="00D76DB6" w:rsidRPr="00C32C06">
        <w:rPr>
          <w:i/>
        </w:rPr>
        <w:t>See</w:t>
      </w:r>
      <w:r w:rsidR="00D76DB6">
        <w:t xml:space="preserve"> </w:t>
      </w:r>
      <w:r w:rsidR="00887261">
        <w:t xml:space="preserve">               </w:t>
      </w:r>
      <w:r w:rsidR="006500B7" w:rsidRPr="006500B7">
        <w:t>42 U.S.C. § 7409.</w:t>
      </w:r>
      <w:r w:rsidRPr="00A62401">
        <w:t xml:space="preserve">  </w:t>
      </w:r>
    </w:p>
  </w:footnote>
  <w:footnote w:id="26">
    <w:p w14:paraId="5DAAA96A" w14:textId="77777777" w:rsidR="003B1DCC" w:rsidRDefault="003B1DCC" w:rsidP="00887261">
      <w:pPr>
        <w:pStyle w:val="FootnoteText"/>
        <w:widowControl/>
      </w:pPr>
      <w:r>
        <w:rPr>
          <w:rStyle w:val="FootnoteReference"/>
        </w:rPr>
        <w:footnoteRef/>
      </w:r>
      <w:r>
        <w:t xml:space="preserve"> </w:t>
      </w:r>
      <w:r w:rsidR="00010028" w:rsidRPr="00010028">
        <w:rPr>
          <w:i/>
          <w:iCs/>
        </w:rPr>
        <w:t>Se</w:t>
      </w:r>
      <w:r w:rsidR="00010028">
        <w:rPr>
          <w:i/>
          <w:iCs/>
        </w:rPr>
        <w:t>e, e.g.</w:t>
      </w:r>
      <w:r w:rsidR="00010028" w:rsidRPr="00C32C06">
        <w:t>,</w:t>
      </w:r>
      <w:r w:rsidR="00010028" w:rsidRPr="00010028">
        <w:rPr>
          <w:i/>
          <w:iCs/>
        </w:rPr>
        <w:t xml:space="preserve"> </w:t>
      </w:r>
      <w:r w:rsidR="00010028" w:rsidRPr="00010028">
        <w:t xml:space="preserve">EPA, </w:t>
      </w:r>
      <w:r w:rsidR="00010028" w:rsidRPr="00010028">
        <w:rPr>
          <w:i/>
          <w:iCs/>
        </w:rPr>
        <w:t xml:space="preserve">Guidance on Significant Impact Levels for Ozone </w:t>
      </w:r>
      <w:r w:rsidR="00AB07C1">
        <w:rPr>
          <w:i/>
          <w:iCs/>
        </w:rPr>
        <w:t>&amp;</w:t>
      </w:r>
      <w:r w:rsidR="00010028" w:rsidRPr="00010028">
        <w:rPr>
          <w:i/>
          <w:iCs/>
        </w:rPr>
        <w:t xml:space="preserve"> Fine Particles in the Prevention of Significant Deterioration Permitting Program</w:t>
      </w:r>
      <w:r w:rsidR="00010028" w:rsidRPr="00010028">
        <w:t xml:space="preserve"> 11 </w:t>
      </w:r>
      <w:r w:rsidR="00887261">
        <w:t xml:space="preserve">                 </w:t>
      </w:r>
      <w:r w:rsidR="00010028" w:rsidRPr="00010028">
        <w:t xml:space="preserve">(April 2018) (EPA Ozone and PM SILs Guidance), </w:t>
      </w:r>
      <w:r w:rsidR="009145E6" w:rsidRPr="0038746F">
        <w:t>https://19january2021snapshot.epa.gov/sites</w:t>
      </w:r>
      <w:r w:rsidR="00A43B83" w:rsidRPr="0038746F">
        <w:t>‌</w:t>
      </w:r>
      <w:r w:rsidR="009145E6" w:rsidRPr="0038746F">
        <w:t>/static/files/2018-04/documents/sils_guidance_2018.pdf</w:t>
      </w:r>
      <w:r w:rsidR="00010028" w:rsidRPr="00010028">
        <w:t xml:space="preserve"> (noting that </w:t>
      </w:r>
      <w:r w:rsidR="000C101F">
        <w:t xml:space="preserve">the </w:t>
      </w:r>
      <w:r w:rsidR="00342C58">
        <w:t>SIL</w:t>
      </w:r>
      <w:r w:rsidR="000C101F">
        <w:t>s</w:t>
      </w:r>
      <w:r w:rsidR="00342C58">
        <w:t xml:space="preserve"> for ozone and </w:t>
      </w:r>
      <w:r w:rsidR="0016386D">
        <w:t xml:space="preserve">PM are numerical values </w:t>
      </w:r>
      <w:r w:rsidR="00010028" w:rsidRPr="00010028">
        <w:t>“</w:t>
      </w:r>
      <w:r w:rsidR="0016386D">
        <w:t xml:space="preserve">below which the EPA considers a source to have an insignificant effect on ambient air quality” </w:t>
      </w:r>
      <w:r w:rsidR="002927A7" w:rsidRPr="002927A7">
        <w:t>because the degree in changes in pollutant concentrations caused by an individual contribution below the SIL are “indistinguishable from the inherent variability in the measured atmosphere and may be observed even in the absence of the increased emissions”</w:t>
      </w:r>
      <w:r w:rsidR="002927A7">
        <w:t xml:space="preserve"> and “</w:t>
      </w:r>
      <w:r w:rsidR="00010028" w:rsidRPr="00010028">
        <w:t>changes in air quality within this range are not meaningful, and, thus, do not contribute to a violation of the NAAQS”)</w:t>
      </w:r>
      <w:r w:rsidR="004E1DA3">
        <w:t xml:space="preserve">; </w:t>
      </w:r>
      <w:r w:rsidR="004E1DA3" w:rsidRPr="00C32C06">
        <w:rPr>
          <w:i/>
        </w:rPr>
        <w:t>see also</w:t>
      </w:r>
      <w:r w:rsidR="004E1DA3">
        <w:t xml:space="preserve"> </w:t>
      </w:r>
      <w:r w:rsidR="00DF1A59">
        <w:t xml:space="preserve">EPA, </w:t>
      </w:r>
      <w:r w:rsidR="00DF1A59" w:rsidRPr="00DF1A59">
        <w:rPr>
          <w:i/>
          <w:iCs/>
        </w:rPr>
        <w:t>Guidance Concerning the Implementation of the 1-hour NO</w:t>
      </w:r>
      <w:r w:rsidR="00DF1A59" w:rsidRPr="00DF1A59">
        <w:rPr>
          <w:i/>
          <w:iCs/>
          <w:vertAlign w:val="subscript"/>
        </w:rPr>
        <w:t>2</w:t>
      </w:r>
      <w:r w:rsidR="00DF1A59" w:rsidRPr="00DF1A59">
        <w:rPr>
          <w:i/>
          <w:iCs/>
        </w:rPr>
        <w:t xml:space="preserve"> NAAQS For the Prevention of Significant Deterioration Program</w:t>
      </w:r>
      <w:r w:rsidR="00FC3F40" w:rsidRPr="00C32C06">
        <w:t xml:space="preserve"> </w:t>
      </w:r>
      <w:r w:rsidR="007C4A31" w:rsidRPr="00C32C06">
        <w:t>4, 11</w:t>
      </w:r>
      <w:r w:rsidR="002079E7" w:rsidRPr="00C32C06">
        <w:t xml:space="preserve"> (</w:t>
      </w:r>
      <w:r w:rsidR="00D52AF1" w:rsidRPr="00C32C06">
        <w:t>June 29, 2010) (EPA Interim 1-hour NO</w:t>
      </w:r>
      <w:r w:rsidR="00D52AF1" w:rsidRPr="00C32C06">
        <w:rPr>
          <w:vertAlign w:val="subscript"/>
        </w:rPr>
        <w:t>2</w:t>
      </w:r>
      <w:r w:rsidR="00F76716" w:rsidRPr="00C32C06">
        <w:t xml:space="preserve"> SIL Guidance)</w:t>
      </w:r>
      <w:r w:rsidR="00B307C0">
        <w:t xml:space="preserve">, </w:t>
      </w:r>
      <w:r w:rsidR="002C4E88" w:rsidRPr="0038746F">
        <w:t>https://www.epa.gov/sites/default/files/2015-07/documents/appwno2.pdf</w:t>
      </w:r>
      <w:r w:rsidR="002C4E88">
        <w:t xml:space="preserve"> (noting that </w:t>
      </w:r>
      <w:r w:rsidR="00AA4AFD">
        <w:t xml:space="preserve">it </w:t>
      </w:r>
      <w:r w:rsidR="00EF2C61">
        <w:t>“</w:t>
      </w:r>
      <w:r w:rsidR="00AA4AFD">
        <w:t xml:space="preserve">considers </w:t>
      </w:r>
      <w:r w:rsidR="00EF2C61">
        <w:t>a source</w:t>
      </w:r>
      <w:r w:rsidR="0099575D">
        <w:t xml:space="preserve"> whose individual impact </w:t>
      </w:r>
      <w:r w:rsidR="00AA4AFD">
        <w:t xml:space="preserve">falls below a SIL to have a </w:t>
      </w:r>
      <w:r w:rsidR="00887261">
        <w:t xml:space="preserve">         </w:t>
      </w:r>
      <w:r w:rsidR="00AA4AFD">
        <w:t>de minimis impact on air quality concentrations that already exist” and that further analysis would “yield trivial gain” with regard to reducing ambient pollutant concentrations)</w:t>
      </w:r>
      <w:r w:rsidR="00010028" w:rsidRPr="00010028">
        <w:t>.</w:t>
      </w:r>
    </w:p>
  </w:footnote>
  <w:footnote w:id="27">
    <w:p w14:paraId="77323D11" w14:textId="77777777" w:rsidR="00C84CED" w:rsidRDefault="00C84CED">
      <w:pPr>
        <w:pStyle w:val="FootnoteText"/>
      </w:pPr>
      <w:r>
        <w:rPr>
          <w:rStyle w:val="FootnoteReference"/>
        </w:rPr>
        <w:footnoteRef/>
      </w:r>
      <w:r>
        <w:t xml:space="preserve"> </w:t>
      </w:r>
      <w:r w:rsidR="004802F1" w:rsidRPr="004802F1">
        <w:t xml:space="preserve">The three-part analysis is outlined in EPA’s air quality modeling procedures </w:t>
      </w:r>
      <w:r w:rsidR="00887261">
        <w:t xml:space="preserve">           </w:t>
      </w:r>
      <w:r w:rsidR="004802F1" w:rsidRPr="004802F1">
        <w:t xml:space="preserve">at 40 C.F.R. </w:t>
      </w:r>
      <w:r w:rsidR="004802F1">
        <w:t>pt.</w:t>
      </w:r>
      <w:r w:rsidR="004802F1" w:rsidRPr="004802F1">
        <w:t xml:space="preserve"> 51, </w:t>
      </w:r>
      <w:r w:rsidR="004802F1">
        <w:t>app.</w:t>
      </w:r>
      <w:r w:rsidR="004802F1" w:rsidRPr="004802F1">
        <w:t xml:space="preserve"> W</w:t>
      </w:r>
      <w:r w:rsidR="00FC4E1F">
        <w:t xml:space="preserve"> (2024)</w:t>
      </w:r>
      <w:r w:rsidR="004802F1" w:rsidRPr="004802F1">
        <w:t>.</w:t>
      </w:r>
    </w:p>
  </w:footnote>
  <w:footnote w:id="28">
    <w:p w14:paraId="5D5DB527" w14:textId="77777777" w:rsidR="00B257DD" w:rsidRDefault="00B257DD" w:rsidP="006C76AB">
      <w:pPr>
        <w:pStyle w:val="FootnoteText"/>
      </w:pPr>
      <w:r>
        <w:rPr>
          <w:rStyle w:val="FootnoteReference"/>
        </w:rPr>
        <w:footnoteRef/>
      </w:r>
      <w:r>
        <w:t xml:space="preserve"> </w:t>
      </w:r>
      <w:r w:rsidR="00884075" w:rsidRPr="00884075">
        <w:rPr>
          <w:i/>
        </w:rPr>
        <w:t>See, e.g.</w:t>
      </w:r>
      <w:r w:rsidR="00884075" w:rsidRPr="00884075">
        <w:t xml:space="preserve">, </w:t>
      </w:r>
      <w:r w:rsidR="00C15146" w:rsidRPr="006A2013">
        <w:rPr>
          <w:i/>
          <w:iCs/>
        </w:rPr>
        <w:t>Healthy Gulf</w:t>
      </w:r>
      <w:r w:rsidR="00C15146" w:rsidRPr="00C15146">
        <w:t xml:space="preserve">, 107 F.4th </w:t>
      </w:r>
      <w:r w:rsidR="00A70377">
        <w:t>at</w:t>
      </w:r>
      <w:r w:rsidR="00C15146" w:rsidRPr="00C15146">
        <w:t xml:space="preserve"> 104</w:t>
      </w:r>
      <w:r w:rsidR="00992945">
        <w:t>3-44</w:t>
      </w:r>
      <w:r w:rsidR="00B34208">
        <w:t xml:space="preserve"> </w:t>
      </w:r>
      <w:r w:rsidR="00C15146">
        <w:t xml:space="preserve">(describing the Commission’s </w:t>
      </w:r>
      <w:r w:rsidR="001875B1">
        <w:t xml:space="preserve">use of </w:t>
      </w:r>
      <w:r w:rsidR="00992945">
        <w:t xml:space="preserve">the three-step analysis); </w:t>
      </w:r>
      <w:r w:rsidR="006C76AB">
        <w:rPr>
          <w:i/>
          <w:iCs/>
        </w:rPr>
        <w:t xml:space="preserve">see also </w:t>
      </w:r>
      <w:r w:rsidR="00884075" w:rsidRPr="00884075">
        <w:rPr>
          <w:i/>
          <w:iCs/>
        </w:rPr>
        <w:t>Sierra Club v. FERC</w:t>
      </w:r>
      <w:r w:rsidR="00884075" w:rsidRPr="00884075">
        <w:t xml:space="preserve">, 867 F.3d 1357, 1370 n.7 </w:t>
      </w:r>
      <w:r w:rsidR="00887261">
        <w:t xml:space="preserve">            </w:t>
      </w:r>
      <w:r w:rsidR="00884075" w:rsidRPr="00884075">
        <w:t>(D.C. Cir. 2017) (</w:t>
      </w:r>
      <w:r w:rsidR="00884075" w:rsidRPr="00884075">
        <w:rPr>
          <w:i/>
          <w:iCs/>
        </w:rPr>
        <w:t>Sabal Tr</w:t>
      </w:r>
      <w:r w:rsidR="00884075">
        <w:rPr>
          <w:i/>
          <w:iCs/>
        </w:rPr>
        <w:t>ail</w:t>
      </w:r>
      <w:r w:rsidR="00884075" w:rsidRPr="00C32C06">
        <w:t>)</w:t>
      </w:r>
      <w:r w:rsidR="00884075">
        <w:rPr>
          <w:i/>
          <w:iCs/>
        </w:rPr>
        <w:t xml:space="preserve"> </w:t>
      </w:r>
      <w:r w:rsidR="00884075" w:rsidRPr="00884075">
        <w:t xml:space="preserve">(“FERC appropriately relied on EPA’s [NAAQS] as a standard of comparison for air-quality impacts.  By presenting the project’s expected emissions levels and the NAAQS standards side-by-side, the EIS enabled decisionmakers and the public to meaningfully evaluate the project’s air-pollution effects by reference to a generally accepted standard.”); </w:t>
      </w:r>
      <w:r w:rsidR="00884075" w:rsidRPr="00884075">
        <w:rPr>
          <w:i/>
          <w:iCs/>
        </w:rPr>
        <w:t>Din</w:t>
      </w:r>
      <w:r w:rsidR="00FC10E4">
        <w:rPr>
          <w:i/>
          <w:iCs/>
        </w:rPr>
        <w:t>é</w:t>
      </w:r>
      <w:r w:rsidR="00884075" w:rsidRPr="00884075">
        <w:rPr>
          <w:i/>
          <w:iCs/>
        </w:rPr>
        <w:t xml:space="preserve"> Citizens Against Ruining Our Env’t v. Haaland</w:t>
      </w:r>
      <w:r w:rsidR="00884075" w:rsidRPr="00884075">
        <w:t xml:space="preserve">, </w:t>
      </w:r>
      <w:r w:rsidR="00887261">
        <w:t xml:space="preserve">       </w:t>
      </w:r>
      <w:r w:rsidR="00884075" w:rsidRPr="00884075">
        <w:t xml:space="preserve">59 F.4th 1016, 1046 (10th Cir. 2023) </w:t>
      </w:r>
      <w:r w:rsidR="00F24A47">
        <w:t>(</w:t>
      </w:r>
      <w:r w:rsidR="00F24A47" w:rsidRPr="007632C3">
        <w:rPr>
          <w:i/>
          <w:iCs/>
        </w:rPr>
        <w:t>Din</w:t>
      </w:r>
      <w:r w:rsidR="00F24A47">
        <w:rPr>
          <w:i/>
          <w:iCs/>
        </w:rPr>
        <w:t>é</w:t>
      </w:r>
      <w:r w:rsidR="00F24A47" w:rsidRPr="007632C3">
        <w:rPr>
          <w:i/>
          <w:iCs/>
        </w:rPr>
        <w:t xml:space="preserve"> Citizens</w:t>
      </w:r>
      <w:r w:rsidR="00884075" w:rsidRPr="00884075">
        <w:t>) (finding the Bureau of Land Management appropriately relied on NAAQS in its cumulative effects analysis for oil and gas drilling permit applications);</w:t>
      </w:r>
      <w:r w:rsidR="00884075" w:rsidRPr="00884075">
        <w:rPr>
          <w:i/>
          <w:iCs/>
        </w:rPr>
        <w:t xml:space="preserve"> Lowman v. Fed. Aviation Admin.</w:t>
      </w:r>
      <w:r w:rsidR="00884075" w:rsidRPr="00884075">
        <w:t xml:space="preserve">, 83 F.4th 1345, </w:t>
      </w:r>
      <w:r w:rsidR="00887261">
        <w:t xml:space="preserve">          </w:t>
      </w:r>
      <w:r w:rsidR="00884075" w:rsidRPr="00884075">
        <w:t xml:space="preserve">1364–66 (11th Cir. 2023) </w:t>
      </w:r>
      <w:r w:rsidR="00E70AD8">
        <w:t>(</w:t>
      </w:r>
      <w:r w:rsidR="00E70AD8" w:rsidRPr="00C32C06">
        <w:rPr>
          <w:i/>
          <w:iCs/>
        </w:rPr>
        <w:t>Lowman</w:t>
      </w:r>
      <w:r w:rsidR="00884075" w:rsidRPr="00884075">
        <w:t>) (upholding the Federal Aviation Administration’s reliance on its regulations defining a significance threshold for air quality as one where the “action would cause pollutant concentrations to exceed one or more of the NAAQS”).</w:t>
      </w:r>
    </w:p>
  </w:footnote>
  <w:footnote w:id="29">
    <w:p w14:paraId="6EFB7C4C" w14:textId="77777777" w:rsidR="00624D74" w:rsidRDefault="00624D74" w:rsidP="00624D74">
      <w:pPr>
        <w:pStyle w:val="FootnoteText"/>
      </w:pPr>
      <w:r>
        <w:rPr>
          <w:rStyle w:val="FootnoteReference"/>
        </w:rPr>
        <w:footnoteRef/>
      </w:r>
      <w:r>
        <w:t xml:space="preserve"> </w:t>
      </w:r>
      <w:r w:rsidRPr="00C32C06">
        <w:t>Authorization Order</w:t>
      </w:r>
      <w:r w:rsidR="00244A55">
        <w:t xml:space="preserve">, </w:t>
      </w:r>
      <w:r w:rsidR="00244A55" w:rsidRPr="00244A55">
        <w:t>187 FERC ¶ 61,199</w:t>
      </w:r>
      <w:r w:rsidRPr="00C32C06">
        <w:t xml:space="preserve"> at PP 186-88 and 194</w:t>
      </w:r>
      <w:r w:rsidR="00B77585">
        <w:t xml:space="preserve">; </w:t>
      </w:r>
      <w:r w:rsidR="00B77585" w:rsidRPr="000601B2">
        <w:t xml:space="preserve">final EIS </w:t>
      </w:r>
      <w:r w:rsidR="00887261">
        <w:t xml:space="preserve">               </w:t>
      </w:r>
      <w:r w:rsidR="00B77585" w:rsidRPr="000601B2">
        <w:t>at 4-369</w:t>
      </w:r>
      <w:r w:rsidR="00B77585">
        <w:t xml:space="preserve">; final supplemental EIS at </w:t>
      </w:r>
      <w:r w:rsidR="009C3A30">
        <w:t>14</w:t>
      </w:r>
      <w:r w:rsidR="0055295A">
        <w:t>.</w:t>
      </w:r>
    </w:p>
  </w:footnote>
  <w:footnote w:id="30">
    <w:p w14:paraId="40DC555D" w14:textId="77777777" w:rsidR="00F81045" w:rsidRDefault="00F81045" w:rsidP="00F81045">
      <w:pPr>
        <w:pStyle w:val="FootnoteText"/>
      </w:pPr>
      <w:r>
        <w:rPr>
          <w:rStyle w:val="FootnoteReference"/>
        </w:rPr>
        <w:footnoteRef/>
      </w:r>
      <w:r>
        <w:t xml:space="preserve"> Final EIS at 4-369.</w:t>
      </w:r>
    </w:p>
  </w:footnote>
  <w:footnote w:id="31">
    <w:p w14:paraId="5FC39E09" w14:textId="77777777" w:rsidR="00E238B4" w:rsidRDefault="00E238B4" w:rsidP="00E238B4">
      <w:pPr>
        <w:pStyle w:val="FootnoteText"/>
        <w:rPr>
          <w:szCs w:val="26"/>
        </w:rPr>
      </w:pPr>
      <w:r>
        <w:rPr>
          <w:rStyle w:val="FootnoteReference"/>
          <w:szCs w:val="26"/>
        </w:rPr>
        <w:footnoteRef/>
      </w:r>
      <w:r>
        <w:rPr>
          <w:szCs w:val="26"/>
        </w:rPr>
        <w:t xml:space="preserve"> 42 U.S.C. § 7475(a)(3) (generally prohibiting construction of a major emitting facility unless the facility operator demonstrates that emissions from construction or operation of such facility will not cause, or contribute to, air pollution in excess of any:  (a) maximum allowable increase or maximum allowable concentration for any pollutant in any area to which this part applies more than one time per year, (b) NAAQS in any air quality control region, or (c) any other applicable emission standard or standard of performance under this chapter).  </w:t>
      </w:r>
    </w:p>
  </w:footnote>
  <w:footnote w:id="32">
    <w:p w14:paraId="6E92A385" w14:textId="77777777" w:rsidR="00F81045" w:rsidRDefault="00F81045" w:rsidP="00F81045">
      <w:pPr>
        <w:pStyle w:val="FootnoteText"/>
      </w:pPr>
      <w:r w:rsidRPr="00A5376D">
        <w:rPr>
          <w:rStyle w:val="FootnoteReference"/>
        </w:rPr>
        <w:footnoteRef/>
      </w:r>
      <w:r w:rsidR="00A5376D">
        <w:t xml:space="preserve"> </w:t>
      </w:r>
      <w:r w:rsidR="00A5376D">
        <w:rPr>
          <w:i/>
          <w:iCs/>
        </w:rPr>
        <w:t>Id.</w:t>
      </w:r>
      <w:r w:rsidR="00505BDE" w:rsidRPr="00A5376D">
        <w:t>;</w:t>
      </w:r>
      <w:r w:rsidR="00505BDE">
        <w:t xml:space="preserve"> </w:t>
      </w:r>
      <w:r w:rsidR="00250A63" w:rsidRPr="005E77EB">
        <w:t>EPA</w:t>
      </w:r>
      <w:r w:rsidR="00250A63">
        <w:t xml:space="preserve"> Ozone and PM</w:t>
      </w:r>
      <w:r w:rsidR="00250A63" w:rsidRPr="005E77EB">
        <w:t xml:space="preserve"> SIL</w:t>
      </w:r>
      <w:r w:rsidR="00250A63">
        <w:t>s</w:t>
      </w:r>
      <w:r w:rsidR="00250A63" w:rsidRPr="005E77EB">
        <w:t xml:space="preserve"> Guidance</w:t>
      </w:r>
      <w:r w:rsidR="00CF79FD">
        <w:t xml:space="preserve"> at 11</w:t>
      </w:r>
      <w:r w:rsidR="00250A63">
        <w:t xml:space="preserve"> (“</w:t>
      </w:r>
      <w:r w:rsidR="00250A63" w:rsidRPr="00383758">
        <w:t xml:space="preserve">a permitting authority can reasonably conclude that emissions of a proposed source that have a projected impact below the SIL values provided in this memorandum are not the reason for, responsible for, or the </w:t>
      </w:r>
      <w:r w:rsidR="00250A63">
        <w:t>‘</w:t>
      </w:r>
      <w:r w:rsidR="00250A63" w:rsidRPr="00383758">
        <w:t>but for</w:t>
      </w:r>
      <w:r w:rsidR="00250A63">
        <w:t>’</w:t>
      </w:r>
      <w:r w:rsidR="00250A63" w:rsidRPr="00383758">
        <w:t xml:space="preserve"> cause of a NAAQS violation</w:t>
      </w:r>
      <w:r w:rsidR="00250A63">
        <w:t>”)</w:t>
      </w:r>
      <w:r w:rsidR="00250A63" w:rsidRPr="005E77EB">
        <w:t xml:space="preserve">; EPA, </w:t>
      </w:r>
      <w:r w:rsidR="00250A63" w:rsidRPr="005E77EB">
        <w:rPr>
          <w:i/>
          <w:iCs/>
        </w:rPr>
        <w:t>Legal Memo: Application of Significant Impact Levels in the Air Quality Determination for PSD Permitting under the CAA</w:t>
      </w:r>
      <w:r w:rsidR="00250A63" w:rsidRPr="005E77EB">
        <w:t xml:space="preserve"> </w:t>
      </w:r>
      <w:r w:rsidR="00250A63">
        <w:t xml:space="preserve">at 13 </w:t>
      </w:r>
      <w:r w:rsidR="00250A63" w:rsidRPr="005E77EB">
        <w:t>(Apr. 17, 2018)</w:t>
      </w:r>
      <w:r w:rsidR="00250A63">
        <w:t xml:space="preserve">, </w:t>
      </w:r>
      <w:r w:rsidR="00250A63" w:rsidRPr="0038746F">
        <w:t>https://www.epa.gov/sites/default/files/2018-04/documents/legal_memorandum_final_4-17-18.pdf</w:t>
      </w:r>
      <w:r w:rsidR="00250A63">
        <w:t xml:space="preserve"> (EPA SIL Memo).</w:t>
      </w:r>
    </w:p>
  </w:footnote>
  <w:footnote w:id="33">
    <w:p w14:paraId="0A9826DF" w14:textId="77777777" w:rsidR="00F81045" w:rsidRDefault="00F81045" w:rsidP="00F81045">
      <w:pPr>
        <w:pStyle w:val="FootnoteText"/>
      </w:pPr>
      <w:r>
        <w:rPr>
          <w:rStyle w:val="FootnoteReference"/>
        </w:rPr>
        <w:footnoteRef/>
      </w:r>
      <w:r>
        <w:t xml:space="preserve"> Final EIS at 4-369.</w:t>
      </w:r>
    </w:p>
  </w:footnote>
  <w:footnote w:id="34">
    <w:p w14:paraId="0A17EEBD" w14:textId="77777777" w:rsidR="00673BFA" w:rsidRDefault="00673BFA">
      <w:pPr>
        <w:pStyle w:val="FootnoteText"/>
      </w:pPr>
      <w:r>
        <w:rPr>
          <w:rStyle w:val="FootnoteReference"/>
        </w:rPr>
        <w:footnoteRef/>
      </w:r>
      <w:r>
        <w:t xml:space="preserve"> </w:t>
      </w:r>
      <w:r w:rsidR="00115E8E">
        <w:rPr>
          <w:i/>
          <w:iCs/>
        </w:rPr>
        <w:t>Id.</w:t>
      </w:r>
      <w:r w:rsidR="00115E8E">
        <w:t xml:space="preserve"> </w:t>
      </w:r>
      <w:r w:rsidR="001F2CC9">
        <w:t xml:space="preserve"> </w:t>
      </w:r>
    </w:p>
  </w:footnote>
  <w:footnote w:id="35">
    <w:p w14:paraId="532E8534" w14:textId="77777777" w:rsidR="00673BFA" w:rsidRDefault="00673BFA">
      <w:pPr>
        <w:pStyle w:val="FootnoteText"/>
      </w:pPr>
      <w:r>
        <w:rPr>
          <w:rStyle w:val="FootnoteReference"/>
        </w:rPr>
        <w:footnoteRef/>
      </w:r>
      <w:r>
        <w:t xml:space="preserve"> </w:t>
      </w:r>
      <w:r w:rsidR="00115E8E">
        <w:rPr>
          <w:i/>
          <w:iCs/>
        </w:rPr>
        <w:t>Id.</w:t>
      </w:r>
      <w:r w:rsidR="00115E8E">
        <w:t xml:space="preserve"> </w:t>
      </w:r>
    </w:p>
  </w:footnote>
  <w:footnote w:id="36">
    <w:p w14:paraId="3AB8ECBD" w14:textId="77777777" w:rsidR="00C36443" w:rsidRDefault="00C36443">
      <w:pPr>
        <w:pStyle w:val="FootnoteText"/>
      </w:pPr>
      <w:r>
        <w:rPr>
          <w:rStyle w:val="FootnoteReference"/>
        </w:rPr>
        <w:footnoteRef/>
      </w:r>
      <w:r>
        <w:t xml:space="preserve"> </w:t>
      </w:r>
      <w:r w:rsidR="00115E8E">
        <w:rPr>
          <w:i/>
          <w:iCs/>
        </w:rPr>
        <w:t>Id.</w:t>
      </w:r>
      <w:r w:rsidR="00115E8E">
        <w:t xml:space="preserve"> </w:t>
      </w:r>
    </w:p>
  </w:footnote>
  <w:footnote w:id="37">
    <w:p w14:paraId="635EE81F" w14:textId="77777777" w:rsidR="00A51AFA" w:rsidRDefault="00A51AFA" w:rsidP="00A51AFA">
      <w:pPr>
        <w:pStyle w:val="FootnoteText"/>
      </w:pPr>
      <w:r>
        <w:rPr>
          <w:rStyle w:val="FootnoteReference"/>
        </w:rPr>
        <w:footnoteRef/>
      </w:r>
      <w:r>
        <w:t xml:space="preserve"> </w:t>
      </w:r>
      <w:r w:rsidR="004E3AD6">
        <w:t>Authorization Order, 187 FERC ¶ 61,199 at P 184 (citing f</w:t>
      </w:r>
      <w:r>
        <w:t>inal EIS at 4-369 to 4-373</w:t>
      </w:r>
      <w:r w:rsidR="004E3AD6">
        <w:t xml:space="preserve">). </w:t>
      </w:r>
      <w:r>
        <w:t xml:space="preserve"> </w:t>
      </w:r>
    </w:p>
  </w:footnote>
  <w:footnote w:id="38">
    <w:p w14:paraId="4AFBE8D1" w14:textId="77777777" w:rsidR="00715F1E" w:rsidRDefault="00715F1E" w:rsidP="00715F1E">
      <w:pPr>
        <w:pStyle w:val="FootnoteText"/>
      </w:pPr>
      <w:r>
        <w:rPr>
          <w:rStyle w:val="FootnoteReference"/>
        </w:rPr>
        <w:footnoteRef/>
      </w:r>
      <w:r>
        <w:t xml:space="preserve"> </w:t>
      </w:r>
      <w:r w:rsidR="00677558">
        <w:t>Final EIS</w:t>
      </w:r>
      <w:r>
        <w:t xml:space="preserve"> at 4-371 </w:t>
      </w:r>
      <w:r w:rsidR="00115E8E">
        <w:t>to</w:t>
      </w:r>
      <w:r>
        <w:t xml:space="preserve"> 4-373.  </w:t>
      </w:r>
    </w:p>
  </w:footnote>
  <w:footnote w:id="39">
    <w:p w14:paraId="3D1F87EC" w14:textId="77777777" w:rsidR="00715F1E" w:rsidRDefault="00715F1E" w:rsidP="00715F1E">
      <w:pPr>
        <w:pStyle w:val="FootnoteText"/>
      </w:pPr>
      <w:r>
        <w:rPr>
          <w:rStyle w:val="FootnoteReference"/>
        </w:rPr>
        <w:footnoteRef/>
      </w:r>
      <w:r>
        <w:t xml:space="preserve"> </w:t>
      </w:r>
      <w:r>
        <w:rPr>
          <w:i/>
          <w:iCs/>
        </w:rPr>
        <w:t>Id.</w:t>
      </w:r>
      <w:r>
        <w:t xml:space="preserve"> </w:t>
      </w:r>
    </w:p>
  </w:footnote>
  <w:footnote w:id="40">
    <w:p w14:paraId="7DAE3515" w14:textId="77777777" w:rsidR="00715F1E" w:rsidRDefault="00715F1E" w:rsidP="00715F1E">
      <w:pPr>
        <w:pStyle w:val="FootnoteText"/>
      </w:pPr>
      <w:r>
        <w:rPr>
          <w:rStyle w:val="FootnoteReference"/>
        </w:rPr>
        <w:footnoteRef/>
      </w:r>
      <w:r>
        <w:t xml:space="preserve"> </w:t>
      </w:r>
      <w:r>
        <w:rPr>
          <w:i/>
          <w:iCs/>
        </w:rPr>
        <w:t>Id.</w:t>
      </w:r>
      <w:r>
        <w:t xml:space="preserve"> at 4-372</w:t>
      </w:r>
      <w:r w:rsidR="0039686B">
        <w:t>-</w:t>
      </w:r>
      <w:r w:rsidR="0094253C">
        <w:t>373</w:t>
      </w:r>
      <w:r w:rsidR="00991F7E">
        <w:t>,</w:t>
      </w:r>
      <w:r w:rsidR="00A61565">
        <w:t xml:space="preserve"> </w:t>
      </w:r>
      <w:r w:rsidR="00A61565">
        <w:rPr>
          <w:iCs/>
        </w:rPr>
        <w:t>4-553</w:t>
      </w:r>
      <w:r>
        <w:t>.</w:t>
      </w:r>
    </w:p>
  </w:footnote>
  <w:footnote w:id="41">
    <w:p w14:paraId="1F376A5B" w14:textId="77777777" w:rsidR="00EF6682" w:rsidRDefault="00EF6682">
      <w:pPr>
        <w:pStyle w:val="FootnoteText"/>
      </w:pPr>
      <w:r>
        <w:rPr>
          <w:rStyle w:val="FootnoteReference"/>
        </w:rPr>
        <w:footnoteRef/>
      </w:r>
      <w:r>
        <w:t xml:space="preserve"> </w:t>
      </w:r>
      <w:r w:rsidR="006E4584" w:rsidRPr="006E4584">
        <w:rPr>
          <w:i/>
          <w:iCs/>
        </w:rPr>
        <w:t>See</w:t>
      </w:r>
      <w:r w:rsidR="0033701C">
        <w:rPr>
          <w:i/>
          <w:iCs/>
        </w:rPr>
        <w:t xml:space="preserve"> id</w:t>
      </w:r>
      <w:r w:rsidR="006E4584" w:rsidRPr="006E4584">
        <w:t>.</w:t>
      </w:r>
    </w:p>
  </w:footnote>
  <w:footnote w:id="42">
    <w:p w14:paraId="2BF7E520" w14:textId="77777777" w:rsidR="00FC27C8" w:rsidRDefault="00FC27C8" w:rsidP="00887261">
      <w:pPr>
        <w:pStyle w:val="FootnoteText"/>
        <w:widowControl/>
      </w:pPr>
      <w:r>
        <w:rPr>
          <w:rStyle w:val="FootnoteReference"/>
        </w:rPr>
        <w:footnoteRef/>
      </w:r>
      <w:r>
        <w:t xml:space="preserve"> </w:t>
      </w:r>
      <w:r w:rsidR="006E422D" w:rsidRPr="006E422D">
        <w:t xml:space="preserve">A PSD increment is the maximum allowable increase in the ambient concentration of a specific pollutant in an area that is in attainment of the NAAQS. </w:t>
      </w:r>
      <w:r w:rsidR="006E422D">
        <w:t xml:space="preserve"> </w:t>
      </w:r>
      <w:r w:rsidR="00115E8E">
        <w:rPr>
          <w:i/>
          <w:iCs/>
        </w:rPr>
        <w:t>Id.</w:t>
      </w:r>
      <w:r w:rsidR="006E422D">
        <w:t xml:space="preserve">  </w:t>
      </w:r>
      <w:r w:rsidR="006E422D" w:rsidRPr="006E422D">
        <w:t>Significant deterioration of air quality is deemed to occur when the amount of additional new pollution exceeds the applicable PSD increment.</w:t>
      </w:r>
      <w:r w:rsidR="006E422D">
        <w:t xml:space="preserve">  </w:t>
      </w:r>
      <w:r w:rsidR="00115E8E">
        <w:rPr>
          <w:i/>
          <w:iCs/>
        </w:rPr>
        <w:t>Id.</w:t>
      </w:r>
      <w:r w:rsidR="00115E8E">
        <w:t xml:space="preserve"> </w:t>
      </w:r>
    </w:p>
  </w:footnote>
  <w:footnote w:id="43">
    <w:p w14:paraId="601DBBB7" w14:textId="77777777" w:rsidR="004421BA" w:rsidRPr="005D7A30" w:rsidRDefault="004421BA" w:rsidP="004421BA">
      <w:pPr>
        <w:pStyle w:val="FootnoteText"/>
      </w:pPr>
      <w:r>
        <w:rPr>
          <w:rStyle w:val="FootnoteReference"/>
        </w:rPr>
        <w:footnoteRef/>
      </w:r>
      <w:r>
        <w:t xml:space="preserve"> </w:t>
      </w:r>
      <w:r>
        <w:rPr>
          <w:i/>
          <w:iCs/>
        </w:rPr>
        <w:t>Id.</w:t>
      </w:r>
      <w:r>
        <w:t xml:space="preserve"> at 4-374.  </w:t>
      </w:r>
    </w:p>
  </w:footnote>
  <w:footnote w:id="44">
    <w:p w14:paraId="6FB73312" w14:textId="77777777" w:rsidR="009937DF" w:rsidRDefault="009937DF" w:rsidP="009937DF">
      <w:pPr>
        <w:pStyle w:val="FootnoteText"/>
      </w:pPr>
      <w:r>
        <w:rPr>
          <w:rStyle w:val="FootnoteReference"/>
        </w:rPr>
        <w:footnoteRef/>
      </w:r>
      <w:r>
        <w:t xml:space="preserve"> </w:t>
      </w:r>
      <w:r w:rsidR="00F11EC4">
        <w:rPr>
          <w:i/>
          <w:iCs/>
        </w:rPr>
        <w:t>Id.</w:t>
      </w:r>
      <w:r>
        <w:rPr>
          <w:i/>
        </w:rPr>
        <w:t xml:space="preserve"> </w:t>
      </w:r>
      <w:r>
        <w:t xml:space="preserve">4-371 to 4-373.  </w:t>
      </w:r>
      <w:r w:rsidR="00CC285F">
        <w:t>CP2</w:t>
      </w:r>
      <w:r w:rsidR="0064116B">
        <w:t xml:space="preserve"> LNG used data from the West Orange, Texas monitoring station </w:t>
      </w:r>
      <w:r w:rsidR="00D21F79">
        <w:t>(West Orange Monitoring Station)</w:t>
      </w:r>
      <w:r w:rsidR="0064116B">
        <w:t xml:space="preserve"> </w:t>
      </w:r>
      <w:r w:rsidR="00E6299F">
        <w:t>for</w:t>
      </w:r>
      <w:r w:rsidR="007D1524">
        <w:t xml:space="preserve"> this mode</w:t>
      </w:r>
      <w:r w:rsidR="00B3728B">
        <w:t>ling.</w:t>
      </w:r>
    </w:p>
  </w:footnote>
  <w:footnote w:id="45">
    <w:p w14:paraId="622F2057" w14:textId="77777777" w:rsidR="003A2999" w:rsidRDefault="003A2999" w:rsidP="003A2999">
      <w:pPr>
        <w:pStyle w:val="FootnoteText"/>
      </w:pPr>
      <w:r>
        <w:rPr>
          <w:rStyle w:val="FootnoteReference"/>
        </w:rPr>
        <w:footnoteRef/>
      </w:r>
      <w:r>
        <w:t xml:space="preserve"> 89 Fed. Reg. 16,202 (Mar. 6, 2024).</w:t>
      </w:r>
    </w:p>
  </w:footnote>
  <w:footnote w:id="46">
    <w:p w14:paraId="44F88B89" w14:textId="77777777" w:rsidR="004C7C1A" w:rsidRDefault="004C7C1A" w:rsidP="004C7C1A">
      <w:pPr>
        <w:pStyle w:val="FootnoteText"/>
      </w:pPr>
      <w:r>
        <w:rPr>
          <w:rStyle w:val="FootnoteReference"/>
        </w:rPr>
        <w:footnoteRef/>
      </w:r>
      <w:r>
        <w:t xml:space="preserve"> </w:t>
      </w:r>
      <w:r w:rsidR="00315F4E" w:rsidRPr="00315F4E">
        <w:rPr>
          <w:i/>
          <w:iCs/>
        </w:rPr>
        <w:t>See</w:t>
      </w:r>
      <w:r w:rsidR="00315F4E" w:rsidRPr="00315F4E">
        <w:t xml:space="preserve"> </w:t>
      </w:r>
      <w:r w:rsidR="009121FA">
        <w:t>March 26</w:t>
      </w:r>
      <w:r w:rsidR="00315F4E" w:rsidRPr="00315F4E">
        <w:t xml:space="preserve">, 2024 Data Request.  </w:t>
      </w:r>
    </w:p>
  </w:footnote>
  <w:footnote w:id="47">
    <w:p w14:paraId="0E0DF01F" w14:textId="77777777" w:rsidR="00B72E97" w:rsidRPr="007508B5" w:rsidRDefault="00B72E97" w:rsidP="00B72E97">
      <w:pPr>
        <w:pStyle w:val="FootnoteText"/>
      </w:pPr>
      <w:r>
        <w:rPr>
          <w:rStyle w:val="FootnoteReference"/>
        </w:rPr>
        <w:footnoteRef/>
      </w:r>
      <w:r>
        <w:t xml:space="preserve"> </w:t>
      </w:r>
      <w:r w:rsidR="00A62019">
        <w:t xml:space="preserve">Authorization Order, 187 FERC ¶ 61,199 at P 192; </w:t>
      </w:r>
      <w:r w:rsidR="00A62019">
        <w:rPr>
          <w:i/>
          <w:iCs/>
        </w:rPr>
        <w:t>s</w:t>
      </w:r>
      <w:r w:rsidRPr="00EB6D8C">
        <w:rPr>
          <w:i/>
          <w:iCs/>
        </w:rPr>
        <w:t>ee</w:t>
      </w:r>
      <w:r w:rsidRPr="00EB6D8C">
        <w:t xml:space="preserve"> April 4, 2024 Response to Data Request.</w:t>
      </w:r>
      <w:r>
        <w:t xml:space="preserve">  </w:t>
      </w:r>
    </w:p>
  </w:footnote>
  <w:footnote w:id="48">
    <w:p w14:paraId="47C19793" w14:textId="77777777" w:rsidR="00B72E97" w:rsidRPr="00E352BB" w:rsidRDefault="00B72E97" w:rsidP="00B72E97">
      <w:pPr>
        <w:pStyle w:val="FootnoteText"/>
      </w:pPr>
      <w:r>
        <w:rPr>
          <w:rStyle w:val="FootnoteReference"/>
        </w:rPr>
        <w:footnoteRef/>
      </w:r>
      <w:r>
        <w:t xml:space="preserve"> </w:t>
      </w:r>
      <w:r w:rsidR="00E352BB">
        <w:t xml:space="preserve">Authorization Order, 187 FERC ¶ 61,199 at P 192; </w:t>
      </w:r>
      <w:r w:rsidR="00E352BB">
        <w:rPr>
          <w:i/>
          <w:iCs/>
        </w:rPr>
        <w:t>s</w:t>
      </w:r>
      <w:r w:rsidR="00E352BB" w:rsidRPr="00EB6D8C">
        <w:rPr>
          <w:i/>
          <w:iCs/>
        </w:rPr>
        <w:t>ee</w:t>
      </w:r>
      <w:r w:rsidR="00E352BB" w:rsidRPr="00EB6D8C">
        <w:t xml:space="preserve"> April 4, 2024 Response to Data Request.</w:t>
      </w:r>
      <w:r w:rsidR="00E352BB">
        <w:t xml:space="preserve">  </w:t>
      </w:r>
    </w:p>
  </w:footnote>
  <w:footnote w:id="49">
    <w:p w14:paraId="68E0B2B9" w14:textId="77777777" w:rsidR="00B72E97" w:rsidRDefault="00B72E97" w:rsidP="00B72E97">
      <w:pPr>
        <w:pStyle w:val="FootnoteText"/>
      </w:pPr>
      <w:r>
        <w:rPr>
          <w:rStyle w:val="FootnoteReference"/>
        </w:rPr>
        <w:footnoteRef/>
      </w:r>
      <w:r>
        <w:t xml:space="preserve"> </w:t>
      </w:r>
      <w:r w:rsidR="00E352BB">
        <w:t xml:space="preserve">Authorization Order, 187 FERC ¶ 61,199 at P 192; </w:t>
      </w:r>
      <w:r w:rsidR="00E352BB">
        <w:rPr>
          <w:i/>
          <w:iCs/>
        </w:rPr>
        <w:t>s</w:t>
      </w:r>
      <w:r w:rsidR="00E352BB" w:rsidRPr="00EB6D8C">
        <w:rPr>
          <w:i/>
          <w:iCs/>
        </w:rPr>
        <w:t>ee</w:t>
      </w:r>
      <w:r w:rsidR="00E352BB" w:rsidRPr="00EB6D8C">
        <w:t xml:space="preserve"> April 4, 2024 Response to Data Request.</w:t>
      </w:r>
      <w:r w:rsidR="00E352BB">
        <w:t xml:space="preserve">  </w:t>
      </w:r>
      <w:r>
        <w:t xml:space="preserve"> </w:t>
      </w:r>
    </w:p>
  </w:footnote>
  <w:footnote w:id="50">
    <w:p w14:paraId="0F35589F" w14:textId="77777777" w:rsidR="00204C00" w:rsidRDefault="00204C00">
      <w:pPr>
        <w:pStyle w:val="FootnoteText"/>
      </w:pPr>
      <w:r>
        <w:rPr>
          <w:rStyle w:val="FootnoteReference"/>
        </w:rPr>
        <w:footnoteRef/>
      </w:r>
      <w:r>
        <w:t xml:space="preserve"> </w:t>
      </w:r>
      <w:r w:rsidR="003517FA">
        <w:t>Authorization Order, 187 FERC ¶ 61,199 at P 192 (</w:t>
      </w:r>
      <w:r w:rsidR="00EA5991">
        <w:t xml:space="preserve">citing </w:t>
      </w:r>
      <w:r w:rsidR="00EA5991" w:rsidRPr="00EB6D8C">
        <w:t>April 4, 2024 Response to Data Request</w:t>
      </w:r>
      <w:r w:rsidR="00EA5991">
        <w:t xml:space="preserve">).  </w:t>
      </w:r>
    </w:p>
  </w:footnote>
  <w:footnote w:id="51">
    <w:p w14:paraId="0C959771" w14:textId="77777777" w:rsidR="002B198E" w:rsidRDefault="002B198E" w:rsidP="002B198E">
      <w:pPr>
        <w:pStyle w:val="FootnoteText"/>
      </w:pPr>
      <w:r>
        <w:rPr>
          <w:rStyle w:val="FootnoteReference"/>
        </w:rPr>
        <w:footnoteRef/>
      </w:r>
      <w:r>
        <w:t xml:space="preserve"> </w:t>
      </w:r>
      <w:r w:rsidR="0033701C">
        <w:rPr>
          <w:i/>
          <w:iCs/>
        </w:rPr>
        <w:t>Id.</w:t>
      </w:r>
      <w:r w:rsidR="0033701C">
        <w:t xml:space="preserve"> </w:t>
      </w:r>
      <w:r w:rsidRPr="004E1A41">
        <w:t>PP 196-197</w:t>
      </w:r>
      <w:r>
        <w:t xml:space="preserve">.  </w:t>
      </w:r>
    </w:p>
  </w:footnote>
  <w:footnote w:id="52">
    <w:p w14:paraId="61DF8F0F" w14:textId="77777777" w:rsidR="002B198E" w:rsidRDefault="002B198E" w:rsidP="002B198E">
      <w:pPr>
        <w:pStyle w:val="FootnoteText"/>
      </w:pPr>
      <w:r>
        <w:rPr>
          <w:rStyle w:val="FootnoteReference"/>
        </w:rPr>
        <w:footnoteRef/>
      </w:r>
      <w:r>
        <w:t xml:space="preserve"> </w:t>
      </w:r>
      <w:r w:rsidRPr="006B5A30">
        <w:t>May 15, 2024 Data Request.</w:t>
      </w:r>
      <w:r>
        <w:t xml:space="preserve">  </w:t>
      </w:r>
    </w:p>
  </w:footnote>
  <w:footnote w:id="53">
    <w:p w14:paraId="58801774" w14:textId="77777777" w:rsidR="001434E4" w:rsidRDefault="001434E4">
      <w:pPr>
        <w:pStyle w:val="FootnoteText"/>
      </w:pPr>
      <w:r>
        <w:rPr>
          <w:rStyle w:val="FootnoteReference"/>
        </w:rPr>
        <w:footnoteRef/>
      </w:r>
      <w:r>
        <w:t xml:space="preserve"> </w:t>
      </w:r>
      <w:r w:rsidRPr="004E1A41">
        <w:t>Authorization Order, 187 FERC ¶ 61,199 at P</w:t>
      </w:r>
      <w:r>
        <w:t xml:space="preserve"> 196.</w:t>
      </w:r>
    </w:p>
  </w:footnote>
  <w:footnote w:id="54">
    <w:p w14:paraId="45109149" w14:textId="77777777" w:rsidR="001434E4" w:rsidRDefault="001434E4">
      <w:pPr>
        <w:pStyle w:val="FootnoteText"/>
      </w:pPr>
      <w:r>
        <w:rPr>
          <w:rStyle w:val="FootnoteReference"/>
        </w:rPr>
        <w:footnoteRef/>
      </w:r>
      <w:r>
        <w:t xml:space="preserve"> </w:t>
      </w:r>
      <w:r w:rsidR="00B03236">
        <w:rPr>
          <w:i/>
          <w:iCs/>
        </w:rPr>
        <w:t>Id.</w:t>
      </w:r>
      <w:r w:rsidR="00B03236">
        <w:t xml:space="preserve"> </w:t>
      </w:r>
    </w:p>
  </w:footnote>
  <w:footnote w:id="55">
    <w:p w14:paraId="27A276B0" w14:textId="77777777" w:rsidR="002F5E94" w:rsidRPr="002F5E94" w:rsidRDefault="002F5E94">
      <w:pPr>
        <w:pStyle w:val="FootnoteText"/>
        <w:rPr>
          <w:b/>
          <w:bCs/>
        </w:rPr>
      </w:pPr>
      <w:r>
        <w:rPr>
          <w:rStyle w:val="FootnoteReference"/>
        </w:rPr>
        <w:footnoteRef/>
      </w:r>
      <w:r>
        <w:t xml:space="preserve"> </w:t>
      </w:r>
      <w:r w:rsidRPr="000677D6">
        <w:t xml:space="preserve">Venture Global June 3, 2024 Response to </w:t>
      </w:r>
      <w:r>
        <w:t xml:space="preserve">Data </w:t>
      </w:r>
      <w:r w:rsidRPr="000677D6">
        <w:t>Request.</w:t>
      </w:r>
    </w:p>
  </w:footnote>
  <w:footnote w:id="56">
    <w:p w14:paraId="1EAFF743" w14:textId="77777777" w:rsidR="00A6642E" w:rsidRDefault="00A6642E" w:rsidP="00887261">
      <w:pPr>
        <w:pStyle w:val="FootnoteText"/>
        <w:widowControl/>
      </w:pPr>
      <w:r>
        <w:rPr>
          <w:rStyle w:val="FootnoteReference"/>
        </w:rPr>
        <w:footnoteRef/>
      </w:r>
      <w:r>
        <w:t xml:space="preserve"> </w:t>
      </w:r>
      <w:r w:rsidRPr="004E1A41">
        <w:t>Authorization Order, 187 FERC ¶ 61,199 at P</w:t>
      </w:r>
      <w:r>
        <w:t xml:space="preserve"> 186 (citing final EIS at 4-553).</w:t>
      </w:r>
    </w:p>
  </w:footnote>
  <w:footnote w:id="57">
    <w:p w14:paraId="5FAD7717" w14:textId="77777777" w:rsidR="00190CA3" w:rsidRDefault="00190CA3" w:rsidP="00190CA3">
      <w:pPr>
        <w:pStyle w:val="FootnoteText"/>
      </w:pPr>
      <w:r>
        <w:rPr>
          <w:rStyle w:val="FootnoteReference"/>
        </w:rPr>
        <w:footnoteRef/>
      </w:r>
      <w:r>
        <w:t xml:space="preserve"> </w:t>
      </w:r>
      <w:r w:rsidR="00B03236">
        <w:rPr>
          <w:i/>
          <w:iCs/>
        </w:rPr>
        <w:t>Id.</w:t>
      </w:r>
      <w:r w:rsidRPr="004E1A41">
        <w:t xml:space="preserve"> P</w:t>
      </w:r>
      <w:r>
        <w:t xml:space="preserve"> 197.  This updated air modeling included the revisions represented in the April 4, 2024 air modeling provided by Venture Global showing compliance with the updated NAAQS for annual PM</w:t>
      </w:r>
      <w:r w:rsidRPr="006C7ABF">
        <w:rPr>
          <w:vertAlign w:val="subscript"/>
        </w:rPr>
        <w:t>2.5</w:t>
      </w:r>
      <w:r>
        <w:t>.</w:t>
      </w:r>
    </w:p>
  </w:footnote>
  <w:footnote w:id="58">
    <w:p w14:paraId="1CBE9E93" w14:textId="77777777" w:rsidR="00E709B5" w:rsidRDefault="00E709B5">
      <w:pPr>
        <w:pStyle w:val="FootnoteText"/>
      </w:pPr>
      <w:r>
        <w:rPr>
          <w:rStyle w:val="FootnoteReference"/>
        </w:rPr>
        <w:footnoteRef/>
      </w:r>
      <w:r>
        <w:t xml:space="preserve"> </w:t>
      </w:r>
      <w:r w:rsidR="00B03236">
        <w:rPr>
          <w:i/>
          <w:iCs/>
        </w:rPr>
        <w:t>Id.</w:t>
      </w:r>
      <w:r w:rsidR="002C5626" w:rsidRPr="004E1A41">
        <w:t xml:space="preserve"> P</w:t>
      </w:r>
      <w:r w:rsidR="002C5626">
        <w:t xml:space="preserve"> </w:t>
      </w:r>
      <w:r>
        <w:t>192</w:t>
      </w:r>
      <w:r w:rsidR="00A45611">
        <w:t xml:space="preserve"> (citing Venture Global April 4, 2024 Response to Data Request).  </w:t>
      </w:r>
    </w:p>
  </w:footnote>
  <w:footnote w:id="59">
    <w:p w14:paraId="57D6327C" w14:textId="77777777" w:rsidR="000E1E8D" w:rsidRPr="000C660A" w:rsidRDefault="000E1E8D" w:rsidP="000E1E8D">
      <w:pPr>
        <w:pStyle w:val="FootnoteText"/>
      </w:pPr>
      <w:r>
        <w:rPr>
          <w:rStyle w:val="FootnoteReference"/>
        </w:rPr>
        <w:footnoteRef/>
      </w:r>
      <w:r>
        <w:t xml:space="preserve"> </w:t>
      </w:r>
      <w:r>
        <w:rPr>
          <w:i/>
          <w:iCs/>
        </w:rPr>
        <w:t>Id.</w:t>
      </w:r>
      <w:r>
        <w:t xml:space="preserve"> P 198.  </w:t>
      </w:r>
    </w:p>
  </w:footnote>
  <w:footnote w:id="60">
    <w:p w14:paraId="4F5BAB05" w14:textId="77777777" w:rsidR="009F3D32" w:rsidRDefault="009F3D32" w:rsidP="00CE75B6">
      <w:pPr>
        <w:pStyle w:val="FootnoteText"/>
      </w:pPr>
      <w:r>
        <w:rPr>
          <w:rStyle w:val="FootnoteReference"/>
        </w:rPr>
        <w:footnoteRef/>
      </w:r>
      <w:r w:rsidR="00CE75B6">
        <w:t xml:space="preserve"> </w:t>
      </w:r>
      <w:r w:rsidR="00CE75B6" w:rsidRPr="005F46EB">
        <w:rPr>
          <w:i/>
          <w:iCs/>
        </w:rPr>
        <w:t>Healthy Gulf</w:t>
      </w:r>
      <w:r w:rsidR="00CE75B6" w:rsidRPr="00CE75B6">
        <w:t xml:space="preserve">, 107 F.4th </w:t>
      </w:r>
      <w:r w:rsidR="00980DD8">
        <w:t>at</w:t>
      </w:r>
      <w:r w:rsidR="00CE75B6" w:rsidRPr="00CE75B6">
        <w:t xml:space="preserve"> 1044</w:t>
      </w:r>
      <w:r w:rsidR="00980DD8">
        <w:t>.</w:t>
      </w:r>
      <w:r w:rsidR="001A3C48">
        <w:t xml:space="preserve"> </w:t>
      </w:r>
    </w:p>
  </w:footnote>
  <w:footnote w:id="61">
    <w:p w14:paraId="0ABCAED8" w14:textId="77777777" w:rsidR="009F3D32" w:rsidRDefault="009F3D32" w:rsidP="009F3D32">
      <w:pPr>
        <w:pStyle w:val="FootnoteText"/>
      </w:pPr>
      <w:r>
        <w:rPr>
          <w:rStyle w:val="FootnoteReference"/>
        </w:rPr>
        <w:footnoteRef/>
      </w:r>
      <w:r>
        <w:t xml:space="preserve"> </w:t>
      </w:r>
      <w:r>
        <w:rPr>
          <w:i/>
          <w:iCs/>
        </w:rPr>
        <w:t>Id.</w:t>
      </w:r>
      <w:r>
        <w:t xml:space="preserve"> </w:t>
      </w:r>
    </w:p>
  </w:footnote>
  <w:footnote w:id="62">
    <w:p w14:paraId="038C47A6" w14:textId="77777777" w:rsidR="009F3D32" w:rsidRPr="00D603A1" w:rsidRDefault="009F3D32" w:rsidP="00CE59A8">
      <w:pPr>
        <w:pStyle w:val="FootnoteText"/>
      </w:pPr>
      <w:r>
        <w:rPr>
          <w:rStyle w:val="FootnoteReference"/>
        </w:rPr>
        <w:footnoteRef/>
      </w:r>
      <w:r>
        <w:t xml:space="preserve"> </w:t>
      </w:r>
      <w:r w:rsidR="00CE59A8" w:rsidRPr="005F46EB">
        <w:rPr>
          <w:i/>
          <w:iCs/>
        </w:rPr>
        <w:t>City of Port Isabel</w:t>
      </w:r>
      <w:r w:rsidR="00CE59A8" w:rsidRPr="00CE59A8">
        <w:t xml:space="preserve">, 111 F.4th </w:t>
      </w:r>
      <w:r w:rsidR="00980DD8">
        <w:t>at</w:t>
      </w:r>
      <w:r w:rsidR="00CE59A8" w:rsidRPr="00CE59A8">
        <w:t xml:space="preserve"> 1215</w:t>
      </w:r>
      <w:r w:rsidR="00104F0B">
        <w:t xml:space="preserve">.  </w:t>
      </w:r>
      <w:r w:rsidR="00762BA6">
        <w:t>We note that the D.C. Circuit has since granted rehearing</w:t>
      </w:r>
      <w:r w:rsidR="00CE59A8">
        <w:t>, in part,</w:t>
      </w:r>
      <w:r w:rsidR="00762BA6">
        <w:t xml:space="preserve"> and amended its opinion to remand </w:t>
      </w:r>
      <w:r w:rsidR="00762BA6">
        <w:rPr>
          <w:i/>
          <w:iCs/>
        </w:rPr>
        <w:t>without</w:t>
      </w:r>
      <w:r w:rsidR="00762BA6">
        <w:t xml:space="preserve"> vacatur.  </w:t>
      </w:r>
      <w:r w:rsidR="00762BA6" w:rsidRPr="00FA4844">
        <w:rPr>
          <w:i/>
          <w:iCs/>
        </w:rPr>
        <w:t>City of Port Isabel v. FERC</w:t>
      </w:r>
      <w:r w:rsidR="00762BA6" w:rsidRPr="00C32C06">
        <w:rPr>
          <w:i/>
        </w:rPr>
        <w:t>,</w:t>
      </w:r>
      <w:r w:rsidR="00762BA6" w:rsidRPr="00A12661">
        <w:t xml:space="preserve"> </w:t>
      </w:r>
      <w:r w:rsidR="006750AF" w:rsidRPr="006750AF">
        <w:t>130 F.4th 1034, 1039</w:t>
      </w:r>
      <w:r w:rsidR="00762BA6" w:rsidRPr="00A12661">
        <w:t xml:space="preserve"> (D.C. Cir. 2025)</w:t>
      </w:r>
      <w:r w:rsidR="00762BA6">
        <w:t>.</w:t>
      </w:r>
      <w:r w:rsidR="006750AF">
        <w:t xml:space="preserve">  </w:t>
      </w:r>
    </w:p>
  </w:footnote>
  <w:footnote w:id="63">
    <w:p w14:paraId="37A5611B" w14:textId="77777777" w:rsidR="009F3D32" w:rsidRDefault="009F3D32" w:rsidP="009F3D32">
      <w:pPr>
        <w:pStyle w:val="FootnoteText"/>
      </w:pPr>
      <w:r>
        <w:rPr>
          <w:rStyle w:val="FootnoteReference"/>
        </w:rPr>
        <w:footnoteRef/>
      </w:r>
      <w:r>
        <w:t xml:space="preserve"> </w:t>
      </w:r>
      <w:r w:rsidRPr="001E4F7B">
        <w:rPr>
          <w:i/>
          <w:iCs/>
        </w:rPr>
        <w:t>City of Port Isabel</w:t>
      </w:r>
      <w:r w:rsidRPr="001E4F7B">
        <w:t xml:space="preserve">, </w:t>
      </w:r>
      <w:r w:rsidRPr="006C65D8">
        <w:t xml:space="preserve">111 F.4th </w:t>
      </w:r>
      <w:r>
        <w:t>at 1211</w:t>
      </w:r>
      <w:r w:rsidR="003E4C69">
        <w:t xml:space="preserve"> (quoting </w:t>
      </w:r>
      <w:r w:rsidR="006177D1" w:rsidRPr="00950BC8">
        <w:rPr>
          <w:i/>
          <w:iCs/>
        </w:rPr>
        <w:t>Robertson v. Methow Valley Citizens Council</w:t>
      </w:r>
      <w:r w:rsidR="006177D1" w:rsidRPr="006177D1">
        <w:t>, 490 U.S. 332, 349 (1989)</w:t>
      </w:r>
      <w:r w:rsidR="00CB4C58">
        <w:t xml:space="preserve"> (</w:t>
      </w:r>
      <w:r w:rsidR="00CB4C58" w:rsidRPr="00CB4C58">
        <w:rPr>
          <w:i/>
          <w:iCs/>
        </w:rPr>
        <w:t>Methow Valley</w:t>
      </w:r>
      <w:r w:rsidR="00CB4C58">
        <w:t>)</w:t>
      </w:r>
      <w:r w:rsidR="006177D1">
        <w:t>)</w:t>
      </w:r>
      <w:r>
        <w:t xml:space="preserve">.  </w:t>
      </w:r>
    </w:p>
  </w:footnote>
  <w:footnote w:id="64">
    <w:p w14:paraId="5E8B0C51" w14:textId="77777777" w:rsidR="00934DC5" w:rsidRDefault="00934DC5" w:rsidP="00934DC5">
      <w:pPr>
        <w:pStyle w:val="FootnoteText"/>
      </w:pPr>
      <w:r>
        <w:rPr>
          <w:rStyle w:val="FootnoteReference"/>
        </w:rPr>
        <w:footnoteRef/>
      </w:r>
      <w:r>
        <w:t xml:space="preserve"> </w:t>
      </w:r>
      <w:r w:rsidR="00881659">
        <w:t xml:space="preserve">Petitioners’ </w:t>
      </w:r>
      <w:r>
        <w:rPr>
          <w:iCs/>
        </w:rPr>
        <w:t xml:space="preserve">Rehearing Request </w:t>
      </w:r>
      <w:r>
        <w:t xml:space="preserve">at 34-46.  </w:t>
      </w:r>
    </w:p>
  </w:footnote>
  <w:footnote w:id="65">
    <w:p w14:paraId="17647285" w14:textId="77777777" w:rsidR="00934DC5" w:rsidRDefault="00934DC5" w:rsidP="00934DC5">
      <w:pPr>
        <w:pStyle w:val="FootnoteText"/>
      </w:pPr>
      <w:r>
        <w:rPr>
          <w:rStyle w:val="FootnoteReference"/>
        </w:rPr>
        <w:footnoteRef/>
      </w:r>
      <w:r>
        <w:t xml:space="preserve"> </w:t>
      </w:r>
      <w:r>
        <w:rPr>
          <w:i/>
          <w:iCs/>
        </w:rPr>
        <w:t>Id.</w:t>
      </w:r>
      <w:r>
        <w:rPr>
          <w:i/>
        </w:rPr>
        <w:t xml:space="preserve"> </w:t>
      </w:r>
      <w:r>
        <w:t>at 87-92.</w:t>
      </w:r>
    </w:p>
  </w:footnote>
  <w:footnote w:id="66">
    <w:p w14:paraId="038A0BCC" w14:textId="77777777" w:rsidR="00934DC5" w:rsidRDefault="00934DC5" w:rsidP="00934DC5">
      <w:pPr>
        <w:pStyle w:val="FootnoteText"/>
      </w:pPr>
      <w:r>
        <w:rPr>
          <w:rStyle w:val="FootnoteReference"/>
        </w:rPr>
        <w:footnoteRef/>
      </w:r>
      <w:r>
        <w:t xml:space="preserve"> </w:t>
      </w:r>
      <w:r>
        <w:rPr>
          <w:i/>
          <w:iCs/>
        </w:rPr>
        <w:t>Id.</w:t>
      </w:r>
      <w:r>
        <w:t xml:space="preserve"> at 47-62.  </w:t>
      </w:r>
    </w:p>
  </w:footnote>
  <w:footnote w:id="67">
    <w:p w14:paraId="61F33C6B" w14:textId="77777777" w:rsidR="00934DC5" w:rsidRDefault="00934DC5" w:rsidP="00934DC5">
      <w:pPr>
        <w:pStyle w:val="FootnoteText"/>
      </w:pPr>
      <w:r>
        <w:rPr>
          <w:rStyle w:val="FootnoteReference"/>
        </w:rPr>
        <w:footnoteRef/>
      </w:r>
      <w:r>
        <w:t xml:space="preserve"> </w:t>
      </w:r>
      <w:r>
        <w:rPr>
          <w:i/>
        </w:rPr>
        <w:t>Id.</w:t>
      </w:r>
      <w:r>
        <w:t xml:space="preserve"> at 62-75.  </w:t>
      </w:r>
    </w:p>
  </w:footnote>
  <w:footnote w:id="68">
    <w:p w14:paraId="4B61AE43" w14:textId="77777777" w:rsidR="00A31743" w:rsidRDefault="00A31743" w:rsidP="00C376E8">
      <w:pPr>
        <w:pStyle w:val="FootnoteText"/>
      </w:pPr>
      <w:r>
        <w:rPr>
          <w:rStyle w:val="FootnoteReference"/>
        </w:rPr>
        <w:footnoteRef/>
      </w:r>
      <w:r>
        <w:t xml:space="preserve"> </w:t>
      </w:r>
      <w:r w:rsidR="00C376E8" w:rsidRPr="00C376E8">
        <w:t>42 U.S.C. §§ 4321 </w:t>
      </w:r>
      <w:r w:rsidR="00C376E8" w:rsidRPr="00C376E8">
        <w:rPr>
          <w:i/>
          <w:iCs/>
        </w:rPr>
        <w:t>et seq.</w:t>
      </w:r>
      <w:r w:rsidR="00C376E8" w:rsidRPr="00C376E8">
        <w:t>;</w:t>
      </w:r>
      <w:r w:rsidR="00C376E8" w:rsidRPr="00C376E8">
        <w:rPr>
          <w:i/>
          <w:iCs/>
        </w:rPr>
        <w:t> see also</w:t>
      </w:r>
      <w:r w:rsidR="00C376E8" w:rsidRPr="00C376E8">
        <w:t xml:space="preserve"> 18 C.F.R. pt. 380 (2024) (Commission’s regulations implementing NEPA).  </w:t>
      </w:r>
      <w:r w:rsidR="002F1BF4">
        <w:t xml:space="preserve">The Council on Environmental Quality’s (CEQ) final rule rescinding its NEPA regulations became effective on April 11, 2025.  </w:t>
      </w:r>
      <w:r w:rsidR="00887261">
        <w:t xml:space="preserve">                                </w:t>
      </w:r>
      <w:r w:rsidR="002F1BF4">
        <w:t>90 Fed. Reg. 10,610</w:t>
      </w:r>
      <w:r w:rsidR="001600F1">
        <w:t xml:space="preserve"> (Feb. 25, 2025).</w:t>
      </w:r>
    </w:p>
  </w:footnote>
  <w:footnote w:id="69">
    <w:p w14:paraId="7D670E90" w14:textId="77777777" w:rsidR="00934DC5" w:rsidRDefault="00934DC5" w:rsidP="00934DC5">
      <w:pPr>
        <w:pStyle w:val="FootnoteText"/>
      </w:pPr>
      <w:r>
        <w:rPr>
          <w:rStyle w:val="FootnoteReference"/>
        </w:rPr>
        <w:footnoteRef/>
      </w:r>
      <w:r>
        <w:t xml:space="preserve"> </w:t>
      </w:r>
      <w:r w:rsidR="00C267B7">
        <w:t xml:space="preserve">Petitioners Rehearing Request </w:t>
      </w:r>
      <w:r>
        <w:t xml:space="preserve">at 109-16, 165-66.  </w:t>
      </w:r>
    </w:p>
  </w:footnote>
  <w:footnote w:id="70">
    <w:p w14:paraId="75A69C6D" w14:textId="77777777" w:rsidR="00934DC5" w:rsidRDefault="00934DC5" w:rsidP="00934DC5">
      <w:pPr>
        <w:pStyle w:val="FootnoteText"/>
      </w:pPr>
      <w:r>
        <w:rPr>
          <w:rStyle w:val="FootnoteReference"/>
        </w:rPr>
        <w:footnoteRef/>
      </w:r>
      <w:r>
        <w:t xml:space="preserve"> </w:t>
      </w:r>
      <w:r>
        <w:rPr>
          <w:i/>
        </w:rPr>
        <w:t>Id.</w:t>
      </w:r>
      <w:r>
        <w:rPr>
          <w:iCs/>
        </w:rPr>
        <w:t xml:space="preserve"> </w:t>
      </w:r>
      <w:r>
        <w:t xml:space="preserve">at 116-25.  </w:t>
      </w:r>
    </w:p>
  </w:footnote>
  <w:footnote w:id="71">
    <w:p w14:paraId="13CBF404" w14:textId="77777777" w:rsidR="00934DC5" w:rsidRDefault="00934DC5" w:rsidP="00934DC5">
      <w:pPr>
        <w:pStyle w:val="FootnoteText"/>
      </w:pPr>
      <w:r>
        <w:rPr>
          <w:rStyle w:val="FootnoteReference"/>
        </w:rPr>
        <w:footnoteRef/>
      </w:r>
      <w:r>
        <w:t xml:space="preserve"> </w:t>
      </w:r>
      <w:r>
        <w:rPr>
          <w:i/>
        </w:rPr>
        <w:t>Id.</w:t>
      </w:r>
      <w:r>
        <w:rPr>
          <w:iCs/>
        </w:rPr>
        <w:t xml:space="preserve"> </w:t>
      </w:r>
      <w:r>
        <w:t xml:space="preserve">at 75-85, 125-28. </w:t>
      </w:r>
    </w:p>
  </w:footnote>
  <w:footnote w:id="72">
    <w:p w14:paraId="125CFF05" w14:textId="77777777" w:rsidR="00934DC5" w:rsidRDefault="00934DC5" w:rsidP="00934DC5">
      <w:pPr>
        <w:pStyle w:val="FootnoteText"/>
      </w:pPr>
      <w:r>
        <w:rPr>
          <w:rStyle w:val="FootnoteReference"/>
        </w:rPr>
        <w:footnoteRef/>
      </w:r>
      <w:r>
        <w:t xml:space="preserve"> </w:t>
      </w:r>
      <w:r>
        <w:rPr>
          <w:i/>
        </w:rPr>
        <w:t>Id.</w:t>
      </w:r>
      <w:r>
        <w:rPr>
          <w:iCs/>
        </w:rPr>
        <w:t xml:space="preserve"> </w:t>
      </w:r>
      <w:r>
        <w:t xml:space="preserve">at 128-35. </w:t>
      </w:r>
    </w:p>
  </w:footnote>
  <w:footnote w:id="73">
    <w:p w14:paraId="14B013D3" w14:textId="77777777" w:rsidR="00934DC5" w:rsidRDefault="00934DC5" w:rsidP="00934DC5">
      <w:pPr>
        <w:pStyle w:val="FootnoteText"/>
      </w:pPr>
      <w:r>
        <w:rPr>
          <w:rStyle w:val="FootnoteReference"/>
        </w:rPr>
        <w:footnoteRef/>
      </w:r>
      <w:r>
        <w:t xml:space="preserve"> </w:t>
      </w:r>
      <w:r>
        <w:rPr>
          <w:i/>
        </w:rPr>
        <w:t>Id.</w:t>
      </w:r>
      <w:r>
        <w:rPr>
          <w:iCs/>
        </w:rPr>
        <w:t xml:space="preserve"> </w:t>
      </w:r>
      <w:r>
        <w:t xml:space="preserve">at 162-66.  </w:t>
      </w:r>
    </w:p>
  </w:footnote>
  <w:footnote w:id="74">
    <w:p w14:paraId="41F53130" w14:textId="77777777" w:rsidR="00934DC5" w:rsidRDefault="00934DC5" w:rsidP="00934DC5">
      <w:pPr>
        <w:pStyle w:val="FootnoteText"/>
      </w:pPr>
      <w:r>
        <w:rPr>
          <w:rStyle w:val="FootnoteReference"/>
        </w:rPr>
        <w:footnoteRef/>
      </w:r>
      <w:r>
        <w:t xml:space="preserve"> </w:t>
      </w:r>
      <w:r>
        <w:rPr>
          <w:i/>
        </w:rPr>
        <w:t>Id.</w:t>
      </w:r>
      <w:r>
        <w:rPr>
          <w:iCs/>
        </w:rPr>
        <w:t xml:space="preserve"> </w:t>
      </w:r>
      <w:r>
        <w:t>at 64-69.</w:t>
      </w:r>
    </w:p>
  </w:footnote>
  <w:footnote w:id="75">
    <w:p w14:paraId="766CC65E" w14:textId="77777777" w:rsidR="00934DC5" w:rsidRDefault="00934DC5" w:rsidP="00934DC5">
      <w:pPr>
        <w:pStyle w:val="FootnoteText"/>
      </w:pPr>
      <w:r>
        <w:rPr>
          <w:rStyle w:val="FootnoteReference"/>
        </w:rPr>
        <w:footnoteRef/>
      </w:r>
      <w:r>
        <w:t xml:space="preserve"> </w:t>
      </w:r>
      <w:r>
        <w:rPr>
          <w:i/>
        </w:rPr>
        <w:t>Id.</w:t>
      </w:r>
      <w:r>
        <w:rPr>
          <w:iCs/>
        </w:rPr>
        <w:t xml:space="preserve"> </w:t>
      </w:r>
      <w:r>
        <w:t xml:space="preserve">at 166-87.  </w:t>
      </w:r>
    </w:p>
  </w:footnote>
  <w:footnote w:id="76">
    <w:p w14:paraId="4602EC60" w14:textId="77777777" w:rsidR="00934DC5" w:rsidRDefault="00934DC5" w:rsidP="00934DC5">
      <w:pPr>
        <w:pStyle w:val="FootnoteText"/>
      </w:pPr>
      <w:r>
        <w:rPr>
          <w:rStyle w:val="FootnoteReference"/>
        </w:rPr>
        <w:footnoteRef/>
      </w:r>
      <w:r>
        <w:t xml:space="preserve"> </w:t>
      </w:r>
      <w:r>
        <w:rPr>
          <w:i/>
        </w:rPr>
        <w:t>Id.</w:t>
      </w:r>
      <w:r>
        <w:rPr>
          <w:iCs/>
        </w:rPr>
        <w:t xml:space="preserve"> </w:t>
      </w:r>
      <w:r>
        <w:t xml:space="preserve">at 188-91.  </w:t>
      </w:r>
    </w:p>
  </w:footnote>
  <w:footnote w:id="77">
    <w:p w14:paraId="7932EBD3" w14:textId="77777777" w:rsidR="00934DC5" w:rsidRPr="00B05B45" w:rsidRDefault="00934DC5" w:rsidP="00934DC5">
      <w:pPr>
        <w:pStyle w:val="FootnoteText"/>
      </w:pPr>
      <w:r>
        <w:rPr>
          <w:rStyle w:val="FootnoteReference"/>
        </w:rPr>
        <w:footnoteRef/>
      </w:r>
      <w:r>
        <w:t xml:space="preserve"> </w:t>
      </w:r>
      <w:r>
        <w:rPr>
          <w:i/>
        </w:rPr>
        <w:t>Id.</w:t>
      </w:r>
      <w:r>
        <w:rPr>
          <w:iCs/>
        </w:rPr>
        <w:t xml:space="preserve"> </w:t>
      </w:r>
      <w:r>
        <w:t xml:space="preserve">at 85-87. </w:t>
      </w:r>
      <w:r w:rsidR="00532F8D">
        <w:t xml:space="preserve"> </w:t>
      </w:r>
      <w:r w:rsidR="00A567FF">
        <w:t xml:space="preserve">The Commission’s analysis of the impacts of the Projects on </w:t>
      </w:r>
      <w:r w:rsidR="00B05B45">
        <w:t xml:space="preserve">communities with environmental justice concerns was based on Executive Orders 12898, 13985, and 14096.  </w:t>
      </w:r>
      <w:r w:rsidR="005B3B98" w:rsidRPr="004E1A41">
        <w:t xml:space="preserve">Authorization Order, 187 FERC ¶ 61,199 at </w:t>
      </w:r>
      <w:r w:rsidR="005B3B98">
        <w:t>section III.C</w:t>
      </w:r>
      <w:r w:rsidR="008D11EB">
        <w:t xml:space="preserve">.7; </w:t>
      </w:r>
      <w:r w:rsidR="00B05B45">
        <w:t xml:space="preserve">Final EIS at </w:t>
      </w:r>
      <w:r w:rsidR="00162713">
        <w:t>4-299</w:t>
      </w:r>
      <w:r w:rsidR="000B0F69">
        <w:t xml:space="preserve"> to </w:t>
      </w:r>
      <w:r w:rsidR="00C910C0">
        <w:t xml:space="preserve">4-329.  </w:t>
      </w:r>
      <w:r w:rsidR="00B6759E">
        <w:t xml:space="preserve">These Executive Orders were revoked in January 2025.  </w:t>
      </w:r>
      <w:r w:rsidR="00B6759E" w:rsidRPr="00167414">
        <w:t>Exec. Order No. 14148, 90 Fed. Reg. 8237 (Jan. 28, 2025)</w:t>
      </w:r>
      <w:r w:rsidR="00B6759E">
        <w:t xml:space="preserve"> </w:t>
      </w:r>
      <w:r w:rsidR="00B6759E" w:rsidRPr="00B6759E">
        <w:t>(revoking</w:t>
      </w:r>
      <w:r w:rsidR="00B6759E">
        <w:t xml:space="preserve"> </w:t>
      </w:r>
      <w:r w:rsidR="00B6759E" w:rsidRPr="00167414">
        <w:t>Executive Orders 13985</w:t>
      </w:r>
      <w:r w:rsidR="00B6759E">
        <w:t xml:space="preserve"> </w:t>
      </w:r>
      <w:r w:rsidR="00B6759E" w:rsidRPr="00B6759E">
        <w:t>and</w:t>
      </w:r>
      <w:r w:rsidR="00B6759E">
        <w:t xml:space="preserve"> </w:t>
      </w:r>
      <w:r w:rsidR="00B76E13" w:rsidRPr="005D1983">
        <w:t>14096</w:t>
      </w:r>
      <w:r w:rsidR="00B6759E" w:rsidRPr="00B6759E">
        <w:t>);</w:t>
      </w:r>
      <w:r w:rsidR="00B6759E">
        <w:t xml:space="preserve"> </w:t>
      </w:r>
      <w:r w:rsidR="00B6759E" w:rsidRPr="00167414">
        <w:t>Exec. Order 14173, 90 Fed. Reg. 8633 (Jan. 31, 2025)</w:t>
      </w:r>
      <w:r w:rsidR="00B6759E">
        <w:t xml:space="preserve"> </w:t>
      </w:r>
      <w:r w:rsidR="00B6759E" w:rsidRPr="00B6759E">
        <w:t>(revoking</w:t>
      </w:r>
      <w:r w:rsidR="00B6759E">
        <w:t xml:space="preserve"> </w:t>
      </w:r>
      <w:r w:rsidR="00B6759E" w:rsidRPr="00167414">
        <w:t>Executive Order 12898</w:t>
      </w:r>
      <w:r w:rsidR="00B6759E" w:rsidRPr="00B6759E">
        <w:t>).</w:t>
      </w:r>
      <w:r w:rsidR="00B6759E">
        <w:t xml:space="preserve">  </w:t>
      </w:r>
      <w:r w:rsidR="0051488D" w:rsidRPr="0051488D">
        <w:t>However, the Commission continues to fulfill its NEPA responsibilities by considering impacts to all potentially affected communities</w:t>
      </w:r>
      <w:r w:rsidR="0051488D">
        <w:t xml:space="preserve">.  </w:t>
      </w:r>
      <w:r w:rsidR="003075D0" w:rsidRPr="003075D0">
        <w:rPr>
          <w:i/>
          <w:iCs/>
        </w:rPr>
        <w:t>See</w:t>
      </w:r>
      <w:r w:rsidR="003075D0">
        <w:t xml:space="preserve"> </w:t>
      </w:r>
      <w:r w:rsidR="003075D0" w:rsidRPr="00167414">
        <w:t>42 U.S.C. §</w:t>
      </w:r>
      <w:r w:rsidR="003075D0">
        <w:t> </w:t>
      </w:r>
      <w:r w:rsidR="003075D0" w:rsidRPr="00167414">
        <w:t>4331</w:t>
      </w:r>
      <w:r w:rsidR="003075D0">
        <w:t xml:space="preserve"> </w:t>
      </w:r>
      <w:r w:rsidR="003075D0" w:rsidRPr="003075D0">
        <w:t>(setting forth NEPA</w:t>
      </w:r>
      <w:r w:rsidR="00931855">
        <w:t>’</w:t>
      </w:r>
      <w:r w:rsidR="003075D0" w:rsidRPr="003075D0">
        <w:t>s environmental protection objectives, including to “assure for all Americans safe, healthful, productive, and esthetically and culturally pleasing surroundings”).</w:t>
      </w:r>
      <w:r w:rsidR="003075D0">
        <w:t xml:space="preserve">  </w:t>
      </w:r>
      <w:r w:rsidR="003075D0" w:rsidRPr="003075D0">
        <w:t xml:space="preserve">Accordingly, in this order we focus on consideration of the environmental effects of the </w:t>
      </w:r>
      <w:r w:rsidR="009D1C2E">
        <w:t>Projects</w:t>
      </w:r>
      <w:r w:rsidR="003075D0" w:rsidRPr="003075D0">
        <w:t xml:space="preserve"> on all communities as relevant to </w:t>
      </w:r>
      <w:r w:rsidR="009D1C2E">
        <w:t>Petitioners’</w:t>
      </w:r>
      <w:r w:rsidR="003075D0" w:rsidRPr="003075D0">
        <w:t xml:space="preserve"> </w:t>
      </w:r>
      <w:r w:rsidR="00E055EF">
        <w:t xml:space="preserve">arguments on rehearing.  </w:t>
      </w:r>
    </w:p>
  </w:footnote>
  <w:footnote w:id="78">
    <w:p w14:paraId="318DEC66" w14:textId="77777777" w:rsidR="00934DC5" w:rsidRDefault="00934DC5" w:rsidP="00934DC5">
      <w:pPr>
        <w:pStyle w:val="FootnoteText"/>
      </w:pPr>
      <w:r>
        <w:rPr>
          <w:rStyle w:val="FootnoteReference"/>
        </w:rPr>
        <w:footnoteRef/>
      </w:r>
      <w:r>
        <w:t xml:space="preserve"> </w:t>
      </w:r>
      <w:r w:rsidR="00B03236">
        <w:t xml:space="preserve">Petitioners Rehearing Request </w:t>
      </w:r>
      <w:r>
        <w:t xml:space="preserve">at 135-62.  </w:t>
      </w:r>
    </w:p>
  </w:footnote>
  <w:footnote w:id="79">
    <w:p w14:paraId="2CB2CA84" w14:textId="77777777" w:rsidR="00934DC5" w:rsidRDefault="00934DC5" w:rsidP="00934DC5">
      <w:pPr>
        <w:pStyle w:val="FootnoteText"/>
      </w:pPr>
      <w:r>
        <w:rPr>
          <w:rStyle w:val="FootnoteReference"/>
        </w:rPr>
        <w:footnoteRef/>
      </w:r>
      <w:r>
        <w:t xml:space="preserve"> </w:t>
      </w:r>
      <w:r>
        <w:rPr>
          <w:i/>
        </w:rPr>
        <w:t>Id.</w:t>
      </w:r>
      <w:r>
        <w:rPr>
          <w:iCs/>
        </w:rPr>
        <w:t xml:space="preserve"> </w:t>
      </w:r>
      <w:r>
        <w:t xml:space="preserve">at 75-92.  </w:t>
      </w:r>
    </w:p>
  </w:footnote>
  <w:footnote w:id="80">
    <w:p w14:paraId="620FEC0A" w14:textId="77777777" w:rsidR="00447CDF" w:rsidRPr="00447CDF" w:rsidRDefault="00447CDF">
      <w:pPr>
        <w:pStyle w:val="FootnoteText"/>
      </w:pPr>
      <w:r>
        <w:rPr>
          <w:rStyle w:val="FootnoteReference"/>
        </w:rPr>
        <w:footnoteRef/>
      </w:r>
      <w:r>
        <w:t xml:space="preserve"> </w:t>
      </w:r>
      <w:r>
        <w:rPr>
          <w:i/>
          <w:iCs/>
        </w:rPr>
        <w:t>See generally</w:t>
      </w:r>
      <w:r>
        <w:t xml:space="preserve"> Rehearing Order </w:t>
      </w:r>
      <w:r w:rsidRPr="002117BB">
        <w:t>189 FERC ¶ 61,148</w:t>
      </w:r>
      <w:r w:rsidR="00023C12">
        <w:t xml:space="preserve">.  </w:t>
      </w:r>
    </w:p>
  </w:footnote>
  <w:footnote w:id="81">
    <w:p w14:paraId="17DF1D6B" w14:textId="77777777" w:rsidR="00C73F33" w:rsidRPr="004A707C" w:rsidRDefault="00C73F33" w:rsidP="00C73F33">
      <w:pPr>
        <w:pStyle w:val="FootnoteText"/>
      </w:pPr>
      <w:r>
        <w:rPr>
          <w:rStyle w:val="FootnoteReference"/>
        </w:rPr>
        <w:footnoteRef/>
      </w:r>
      <w:r>
        <w:t xml:space="preserve"> </w:t>
      </w:r>
      <w:r>
        <w:rPr>
          <w:i/>
          <w:iCs/>
        </w:rPr>
        <w:t xml:space="preserve">Id. </w:t>
      </w:r>
      <w:r>
        <w:t>P 185.</w:t>
      </w:r>
    </w:p>
  </w:footnote>
  <w:footnote w:id="82">
    <w:p w14:paraId="657846EB" w14:textId="77777777" w:rsidR="004B6068" w:rsidRDefault="004B6068">
      <w:pPr>
        <w:pStyle w:val="FootnoteText"/>
      </w:pPr>
      <w:r>
        <w:rPr>
          <w:rStyle w:val="FootnoteReference"/>
        </w:rPr>
        <w:footnoteRef/>
      </w:r>
      <w:r>
        <w:t xml:space="preserve"> </w:t>
      </w:r>
      <w:r w:rsidR="004101A4">
        <w:rPr>
          <w:i/>
          <w:iCs/>
        </w:rPr>
        <w:t>Id.</w:t>
      </w:r>
      <w:r w:rsidR="004101A4">
        <w:t xml:space="preserve"> </w:t>
      </w:r>
    </w:p>
  </w:footnote>
  <w:footnote w:id="83">
    <w:p w14:paraId="5245964A" w14:textId="77777777" w:rsidR="005730D3" w:rsidRDefault="005730D3">
      <w:pPr>
        <w:pStyle w:val="FootnoteText"/>
      </w:pPr>
      <w:r>
        <w:rPr>
          <w:rStyle w:val="FootnoteReference"/>
        </w:rPr>
        <w:footnoteRef/>
      </w:r>
      <w:r>
        <w:t xml:space="preserve"> </w:t>
      </w:r>
      <w:r w:rsidR="001B037B">
        <w:rPr>
          <w:i/>
          <w:iCs/>
        </w:rPr>
        <w:t>Id.</w:t>
      </w:r>
      <w:r w:rsidR="001B037B">
        <w:t xml:space="preserve"> </w:t>
      </w:r>
    </w:p>
  </w:footnote>
  <w:footnote w:id="84">
    <w:p w14:paraId="52A36475" w14:textId="77777777" w:rsidR="0015073B" w:rsidRDefault="0015073B" w:rsidP="0015073B">
      <w:pPr>
        <w:pStyle w:val="FootnoteText"/>
      </w:pPr>
      <w:r w:rsidRPr="00D06459">
        <w:rPr>
          <w:rStyle w:val="FootnoteReference"/>
        </w:rPr>
        <w:footnoteRef/>
      </w:r>
      <w:r>
        <w:t xml:space="preserve"> 89</w:t>
      </w:r>
      <w:r w:rsidRPr="00C405FC">
        <w:t xml:space="preserve"> F</w:t>
      </w:r>
      <w:r>
        <w:t>ed Reg.</w:t>
      </w:r>
      <w:r w:rsidRPr="00C405FC">
        <w:t xml:space="preserve"> </w:t>
      </w:r>
      <w:r>
        <w:t>96237 (Dec. 4, 2024).</w:t>
      </w:r>
    </w:p>
  </w:footnote>
  <w:footnote w:id="85">
    <w:p w14:paraId="6151B298" w14:textId="77777777" w:rsidR="00C83A0C" w:rsidRDefault="00C83A0C">
      <w:pPr>
        <w:pStyle w:val="FootnoteText"/>
      </w:pPr>
      <w:r>
        <w:rPr>
          <w:rStyle w:val="FootnoteReference"/>
        </w:rPr>
        <w:footnoteRef/>
      </w:r>
      <w:r>
        <w:t xml:space="preserve"> December 10, 2024 Data Request.  </w:t>
      </w:r>
    </w:p>
  </w:footnote>
  <w:footnote w:id="86">
    <w:p w14:paraId="163D661C" w14:textId="77777777" w:rsidR="00B41A7A" w:rsidRDefault="00B41A7A">
      <w:pPr>
        <w:pStyle w:val="FootnoteText"/>
      </w:pPr>
      <w:r>
        <w:rPr>
          <w:rStyle w:val="FootnoteReference"/>
        </w:rPr>
        <w:footnoteRef/>
      </w:r>
      <w:r>
        <w:t xml:space="preserve"> Venture Global December 23, 2024 Response to Data Request.  </w:t>
      </w:r>
    </w:p>
  </w:footnote>
  <w:footnote w:id="87">
    <w:p w14:paraId="4C83016F" w14:textId="77777777" w:rsidR="00B74CB4" w:rsidRDefault="00B74CB4" w:rsidP="00FA4D76">
      <w:pPr>
        <w:pStyle w:val="FootnoteText"/>
      </w:pPr>
      <w:r>
        <w:rPr>
          <w:rStyle w:val="FootnoteReference"/>
        </w:rPr>
        <w:footnoteRef/>
      </w:r>
      <w:r>
        <w:t xml:space="preserve"> </w:t>
      </w:r>
      <w:r w:rsidR="00790929">
        <w:t xml:space="preserve">90 Fed. Reg. </w:t>
      </w:r>
      <w:r w:rsidR="00FC04D9">
        <w:t xml:space="preserve">9539 (Feb. 13, 2025).  </w:t>
      </w:r>
    </w:p>
  </w:footnote>
  <w:footnote w:id="88">
    <w:p w14:paraId="58DAE12E" w14:textId="77777777" w:rsidR="00E7271C" w:rsidRDefault="00E7271C">
      <w:pPr>
        <w:pStyle w:val="FootnoteText"/>
      </w:pPr>
      <w:r>
        <w:rPr>
          <w:rStyle w:val="FootnoteReference"/>
        </w:rPr>
        <w:footnoteRef/>
      </w:r>
      <w:r w:rsidR="00020944">
        <w:t xml:space="preserve"> </w:t>
      </w:r>
      <w:r w:rsidR="00AA6CFA">
        <w:t>18 C.F.R. § 380.10(a)(1)(i) (2024).</w:t>
      </w:r>
    </w:p>
  </w:footnote>
  <w:footnote w:id="89">
    <w:p w14:paraId="5FFD8417" w14:textId="527EF20E" w:rsidR="00EB091D" w:rsidRDefault="00EB091D" w:rsidP="00EB091D">
      <w:pPr>
        <w:pStyle w:val="FootnoteText"/>
      </w:pPr>
      <w:r>
        <w:rPr>
          <w:rStyle w:val="FootnoteReference"/>
        </w:rPr>
        <w:footnoteRef/>
      </w:r>
      <w:r>
        <w:t xml:space="preserve"> </w:t>
      </w:r>
      <w:r w:rsidR="003A4B42">
        <w:t>90</w:t>
      </w:r>
      <w:r w:rsidR="003A4B42" w:rsidRPr="007B4598">
        <w:t xml:space="preserve"> </w:t>
      </w:r>
      <w:r w:rsidR="00AD6102" w:rsidRPr="007B4598">
        <w:t xml:space="preserve">Fed. Reg. </w:t>
      </w:r>
      <w:r w:rsidR="003A4B42">
        <w:t>2</w:t>
      </w:r>
      <w:r w:rsidR="00C87D7A">
        <w:t>0663</w:t>
      </w:r>
      <w:r w:rsidR="003A4B42" w:rsidRPr="00543212">
        <w:t xml:space="preserve"> </w:t>
      </w:r>
      <w:r w:rsidR="00AD6102" w:rsidRPr="00543212">
        <w:t>(</w:t>
      </w:r>
      <w:r w:rsidR="00C87D7A">
        <w:t xml:space="preserve">May </w:t>
      </w:r>
      <w:r w:rsidR="00BA44C7">
        <w:t>15, 2025</w:t>
      </w:r>
      <w:r w:rsidR="00740F58" w:rsidRPr="00515AC7">
        <w:t>).</w:t>
      </w:r>
    </w:p>
  </w:footnote>
  <w:footnote w:id="90">
    <w:p w14:paraId="1BC15327" w14:textId="77777777" w:rsidR="000851D7" w:rsidRDefault="000851D7">
      <w:pPr>
        <w:pStyle w:val="FootnoteText"/>
      </w:pPr>
      <w:r>
        <w:rPr>
          <w:rStyle w:val="FootnoteReference"/>
        </w:rPr>
        <w:footnoteRef/>
      </w:r>
      <w:r>
        <w:t xml:space="preserve"> </w:t>
      </w:r>
      <w:r w:rsidR="00B34CDE" w:rsidRPr="00AB1A5A">
        <w:t xml:space="preserve">Final supplemental EIS at </w:t>
      </w:r>
      <w:r w:rsidR="008F52D1" w:rsidRPr="00AB1A5A">
        <w:t>3-4; Rehearing Order</w:t>
      </w:r>
      <w:r w:rsidR="00AB1A5A">
        <w:t>,</w:t>
      </w:r>
      <w:r w:rsidR="008F52D1" w:rsidRPr="000966D9">
        <w:t xml:space="preserve"> 189 FERC ¶ 61,148 </w:t>
      </w:r>
      <w:r w:rsidR="00887261">
        <w:t xml:space="preserve">                          </w:t>
      </w:r>
      <w:r w:rsidR="008F52D1" w:rsidRPr="000966D9">
        <w:t>at PP</w:t>
      </w:r>
      <w:r w:rsidR="003060BD" w:rsidRPr="000966D9">
        <w:t xml:space="preserve"> 185-</w:t>
      </w:r>
      <w:r w:rsidR="009E523A" w:rsidRPr="000966D9">
        <w:t>186.</w:t>
      </w:r>
      <w:r w:rsidR="009E523A">
        <w:t xml:space="preserve"> </w:t>
      </w:r>
    </w:p>
  </w:footnote>
  <w:footnote w:id="91">
    <w:p w14:paraId="629FCF1D" w14:textId="77777777" w:rsidR="00B6276D" w:rsidRDefault="00B6276D">
      <w:pPr>
        <w:pStyle w:val="FootnoteText"/>
      </w:pPr>
      <w:r>
        <w:rPr>
          <w:rStyle w:val="FootnoteReference"/>
        </w:rPr>
        <w:footnoteRef/>
      </w:r>
      <w:r>
        <w:t xml:space="preserve"> </w:t>
      </w:r>
      <w:r w:rsidR="00DC3952">
        <w:t xml:space="preserve">Final supplemental EIS at </w:t>
      </w:r>
      <w:r w:rsidR="0027450E">
        <w:t>20</w:t>
      </w:r>
      <w:r w:rsidR="00F53079">
        <w:t>.</w:t>
      </w:r>
    </w:p>
  </w:footnote>
  <w:footnote w:id="92">
    <w:p w14:paraId="27D98479" w14:textId="77777777" w:rsidR="004C3D56" w:rsidRDefault="004C3D56">
      <w:pPr>
        <w:pStyle w:val="FootnoteText"/>
      </w:pPr>
      <w:r>
        <w:rPr>
          <w:rStyle w:val="FootnoteReference"/>
        </w:rPr>
        <w:footnoteRef/>
      </w:r>
      <w:r>
        <w:t xml:space="preserve"> FISH March 31, 2025 Motion to Intervene</w:t>
      </w:r>
      <w:r w:rsidR="003B1170">
        <w:t xml:space="preserve"> (citing environmental impacts on the commercial fishing industry</w:t>
      </w:r>
      <w:r w:rsidR="00061B75">
        <w:t xml:space="preserve"> due to </w:t>
      </w:r>
      <w:r w:rsidR="00791C9E">
        <w:t>the projects)</w:t>
      </w:r>
      <w:r>
        <w:t xml:space="preserve">; </w:t>
      </w:r>
      <w:r w:rsidR="005B3924">
        <w:t>Broussard et</w:t>
      </w:r>
      <w:r w:rsidR="00244726">
        <w:t xml:space="preserve"> al. </w:t>
      </w:r>
      <w:r w:rsidR="00E321DE">
        <w:t>March 31, 2025 Motion to Intervene and Comments</w:t>
      </w:r>
      <w:r w:rsidR="00583693">
        <w:t xml:space="preserve"> (citing </w:t>
      </w:r>
      <w:r w:rsidR="008624D0">
        <w:t xml:space="preserve">air and noise impacts from the </w:t>
      </w:r>
      <w:r w:rsidR="00714A58">
        <w:t xml:space="preserve">Moss Lake Compressor Station </w:t>
      </w:r>
      <w:r w:rsidR="007A529E">
        <w:t>on their wellbeing and livelihoods)</w:t>
      </w:r>
      <w:r w:rsidR="00E321DE">
        <w:t>.</w:t>
      </w:r>
      <w:r w:rsidR="00796E61">
        <w:t xml:space="preserve">  FISH previously filed a late motion to intervene in the proceeding that was denied</w:t>
      </w:r>
      <w:r w:rsidR="00FF24B2">
        <w:t xml:space="preserve">.  </w:t>
      </w:r>
      <w:r w:rsidR="00F4413E" w:rsidRPr="00C32C06">
        <w:rPr>
          <w:i/>
        </w:rPr>
        <w:t>See</w:t>
      </w:r>
      <w:r w:rsidR="00F4413E">
        <w:t xml:space="preserve"> Rehearing Order, </w:t>
      </w:r>
      <w:r w:rsidR="00F4413E" w:rsidRPr="002117BB">
        <w:t>189 FERC ¶</w:t>
      </w:r>
      <w:r w:rsidR="00882A89">
        <w:t> </w:t>
      </w:r>
      <w:r w:rsidR="00F4413E" w:rsidRPr="002117BB">
        <w:t>61,148</w:t>
      </w:r>
      <w:r w:rsidR="00F4413E">
        <w:t xml:space="preserve"> at PP 10-17.</w:t>
      </w:r>
    </w:p>
  </w:footnote>
  <w:footnote w:id="93">
    <w:p w14:paraId="5EBBCFE0" w14:textId="77777777" w:rsidR="00DA6CBA" w:rsidRDefault="00DA6CBA" w:rsidP="00887261">
      <w:pPr>
        <w:pStyle w:val="FootnoteText"/>
        <w:widowControl/>
      </w:pPr>
      <w:r>
        <w:rPr>
          <w:rStyle w:val="FootnoteReference"/>
        </w:rPr>
        <w:footnoteRef/>
      </w:r>
      <w:r>
        <w:t xml:space="preserve"> </w:t>
      </w:r>
      <w:r w:rsidR="009E0F17">
        <w:t xml:space="preserve">Interventions were solicited by the Commission in the </w:t>
      </w:r>
      <w:r w:rsidR="009E0F17" w:rsidRPr="00AE08A6">
        <w:rPr>
          <w:i/>
          <w:iCs/>
        </w:rPr>
        <w:t>Notice of Availability of the Draft Supplemental Environmental Impacts Statement for the Proposed CP2 LNG and CP Express Pipeline Projects</w:t>
      </w:r>
      <w:r w:rsidR="00C218AB">
        <w:t xml:space="preserve">, </w:t>
      </w:r>
      <w:r w:rsidR="009E0F17">
        <w:t xml:space="preserve">90 Fed. Reg. 9539 (Feb. 13, 2025).  </w:t>
      </w:r>
      <w:r w:rsidR="00AB6E60">
        <w:t xml:space="preserve">Timely, </w:t>
      </w:r>
      <w:r w:rsidR="005F0939">
        <w:t xml:space="preserve">unopposed motions to intervene </w:t>
      </w:r>
      <w:r w:rsidR="00FE382A">
        <w:t>are granted by operation of Rule 214 of the Commission’s Rules of Practice and Procedure</w:t>
      </w:r>
      <w:r w:rsidR="00793FCC">
        <w:t>.  18 C.F.R. § </w:t>
      </w:r>
      <w:r w:rsidR="003A2882">
        <w:t>385.214 (2024</w:t>
      </w:r>
      <w:r w:rsidR="003A2882" w:rsidDel="00AA6CFA">
        <w:t>)</w:t>
      </w:r>
      <w:r w:rsidR="00454B13">
        <w:t>.</w:t>
      </w:r>
    </w:p>
  </w:footnote>
  <w:footnote w:id="94">
    <w:p w14:paraId="6622ADDF" w14:textId="77777777" w:rsidR="00F83E7B" w:rsidRPr="00760A1F" w:rsidRDefault="00F83E7B" w:rsidP="00F83E7B">
      <w:pPr>
        <w:pStyle w:val="FootnoteText"/>
      </w:pPr>
      <w:r>
        <w:rPr>
          <w:rStyle w:val="FootnoteReference"/>
        </w:rPr>
        <w:footnoteRef/>
      </w:r>
      <w:r>
        <w:t xml:space="preserve"> Venture Global Rehearing Request at 23-25.  </w:t>
      </w:r>
      <w:r w:rsidR="006B18FB">
        <w:t>Venture Global incorporates by references</w:t>
      </w:r>
      <w:r w:rsidR="0051114D">
        <w:t xml:space="preserve"> various pages of its Answer and attached them to its rehearing request as an exhibit.  </w:t>
      </w:r>
      <w:r w:rsidR="0051114D">
        <w:rPr>
          <w:i/>
          <w:iCs/>
        </w:rPr>
        <w:t>See</w:t>
      </w:r>
      <w:r w:rsidR="0051114D">
        <w:t xml:space="preserve"> </w:t>
      </w:r>
      <w:r w:rsidR="00A90BCA">
        <w:rPr>
          <w:i/>
          <w:iCs/>
        </w:rPr>
        <w:t>i</w:t>
      </w:r>
      <w:r w:rsidR="001B037B">
        <w:rPr>
          <w:i/>
          <w:iCs/>
        </w:rPr>
        <w:t>d.</w:t>
      </w:r>
      <w:r w:rsidR="0051114D">
        <w:t xml:space="preserve"> </w:t>
      </w:r>
      <w:r w:rsidR="00111743">
        <w:t>at 25 (</w:t>
      </w:r>
      <w:r w:rsidR="00586456">
        <w:t xml:space="preserve">referencing </w:t>
      </w:r>
      <w:r w:rsidR="00760A1F">
        <w:t xml:space="preserve">pages 35-57 of its Answer); </w:t>
      </w:r>
      <w:r w:rsidR="00760A1F">
        <w:rPr>
          <w:i/>
          <w:iCs/>
        </w:rPr>
        <w:t>see id.</w:t>
      </w:r>
      <w:r w:rsidR="00760A1F">
        <w:t xml:space="preserve"> at 44 (referencing pages 46-57 of its Answer).  </w:t>
      </w:r>
    </w:p>
  </w:footnote>
  <w:footnote w:id="95">
    <w:p w14:paraId="5B753A9F" w14:textId="77777777" w:rsidR="00F83E7B" w:rsidRDefault="00F83E7B" w:rsidP="00F83E7B">
      <w:pPr>
        <w:pStyle w:val="FootnoteText"/>
      </w:pPr>
      <w:r>
        <w:rPr>
          <w:rStyle w:val="FootnoteReference"/>
        </w:rPr>
        <w:footnoteRef/>
      </w:r>
      <w:r>
        <w:t xml:space="preserve"> </w:t>
      </w:r>
      <w:r w:rsidR="001B037B">
        <w:rPr>
          <w:i/>
          <w:iCs/>
        </w:rPr>
        <w:t>Id.</w:t>
      </w:r>
      <w:r w:rsidR="001B037B">
        <w:t xml:space="preserve"> </w:t>
      </w:r>
      <w:r>
        <w:t xml:space="preserve">at 24.  </w:t>
      </w:r>
    </w:p>
  </w:footnote>
  <w:footnote w:id="96">
    <w:p w14:paraId="3B56D435" w14:textId="77777777" w:rsidR="00F83E7B" w:rsidRPr="00693730" w:rsidRDefault="00F83E7B" w:rsidP="00C218AB">
      <w:pPr>
        <w:pStyle w:val="FootnoteText"/>
        <w:widowControl/>
        <w:rPr>
          <w:i/>
        </w:rPr>
      </w:pPr>
      <w:r>
        <w:rPr>
          <w:rStyle w:val="FootnoteReference"/>
        </w:rPr>
        <w:footnoteRef/>
      </w:r>
      <w:r>
        <w:t xml:space="preserve"> </w:t>
      </w:r>
      <w:r w:rsidR="001B037B">
        <w:rPr>
          <w:i/>
          <w:iCs/>
        </w:rPr>
        <w:t>Id.</w:t>
      </w:r>
      <w:r w:rsidR="001B037B">
        <w:t xml:space="preserve"> </w:t>
      </w:r>
      <w:r w:rsidR="00A11A67">
        <w:t xml:space="preserve"> </w:t>
      </w:r>
      <w:r w:rsidR="00E61FB6">
        <w:t>To the extent</w:t>
      </w:r>
      <w:r w:rsidR="004C1512">
        <w:t xml:space="preserve"> Venture Global suggests that accepting their answer to Petitioners’ request for rehearing would have obviated the need for a supplemental</w:t>
      </w:r>
      <w:r w:rsidR="00BE428F">
        <w:t xml:space="preserve"> EIS, we</w:t>
      </w:r>
      <w:r w:rsidR="00143DD2">
        <w:t xml:space="preserve"> </w:t>
      </w:r>
      <w:r w:rsidR="004F7613">
        <w:t>note that even if the Commission accepted</w:t>
      </w:r>
      <w:r w:rsidR="00656103">
        <w:t xml:space="preserve"> Venture Global’s answer</w:t>
      </w:r>
      <w:r w:rsidR="00D3342B">
        <w:t xml:space="preserve">, under the circumstances of this proceeding, </w:t>
      </w:r>
      <w:r w:rsidR="00583423">
        <w:t xml:space="preserve">a </w:t>
      </w:r>
      <w:r w:rsidR="00D3342B">
        <w:t>supplemental EIS would have still been required as explained</w:t>
      </w:r>
      <w:r w:rsidR="00583423">
        <w:t xml:space="preserve"> in the Rehearing Order.  Rehearing Order </w:t>
      </w:r>
      <w:r w:rsidR="00583423" w:rsidRPr="002117BB">
        <w:t>189 FERC ¶ 61,148</w:t>
      </w:r>
      <w:r w:rsidR="00583423">
        <w:t xml:space="preserve"> at P</w:t>
      </w:r>
      <w:r w:rsidR="00FE5727">
        <w:t xml:space="preserve">P 183-186. </w:t>
      </w:r>
      <w:r w:rsidR="00583423">
        <w:t xml:space="preserve"> </w:t>
      </w:r>
    </w:p>
  </w:footnote>
  <w:footnote w:id="97">
    <w:p w14:paraId="0D17C50E" w14:textId="77777777" w:rsidR="00F83E7B" w:rsidRDefault="00F83E7B" w:rsidP="00F83E7B">
      <w:pPr>
        <w:pStyle w:val="FootnoteText"/>
      </w:pPr>
      <w:r>
        <w:rPr>
          <w:rStyle w:val="FootnoteReference"/>
        </w:rPr>
        <w:footnoteRef/>
      </w:r>
      <w:r>
        <w:t xml:space="preserve"> </w:t>
      </w:r>
      <w:r w:rsidR="004101A4">
        <w:t xml:space="preserve">Venture Global Rehearing Request </w:t>
      </w:r>
      <w:r>
        <w:t>at 23-24.</w:t>
      </w:r>
    </w:p>
  </w:footnote>
  <w:footnote w:id="98">
    <w:p w14:paraId="63EF6EB8" w14:textId="77777777" w:rsidR="00F426C7" w:rsidRDefault="00F426C7" w:rsidP="00F426C7">
      <w:pPr>
        <w:pStyle w:val="FootnoteText"/>
      </w:pPr>
      <w:r>
        <w:rPr>
          <w:rStyle w:val="FootnoteReference"/>
        </w:rPr>
        <w:footnoteRef/>
      </w:r>
      <w:r>
        <w:t xml:space="preserve"> </w:t>
      </w:r>
      <w:r w:rsidR="001B037B">
        <w:rPr>
          <w:i/>
          <w:iCs/>
        </w:rPr>
        <w:t>Id.</w:t>
      </w:r>
      <w:r w:rsidR="001B037B">
        <w:t xml:space="preserve"> </w:t>
      </w:r>
      <w:r>
        <w:t xml:space="preserve">at 25.  </w:t>
      </w:r>
    </w:p>
  </w:footnote>
  <w:footnote w:id="99">
    <w:p w14:paraId="7377715E" w14:textId="77777777" w:rsidR="009A410A" w:rsidRDefault="009A410A">
      <w:pPr>
        <w:pStyle w:val="FootnoteText"/>
      </w:pPr>
      <w:r>
        <w:rPr>
          <w:rStyle w:val="FootnoteReference"/>
        </w:rPr>
        <w:footnoteRef/>
      </w:r>
      <w:r>
        <w:t xml:space="preserve"> </w:t>
      </w:r>
      <w:r w:rsidR="00457669" w:rsidRPr="00457669">
        <w:t>18 C.F.R. § 385.213(a)(2) (2024).</w:t>
      </w:r>
    </w:p>
  </w:footnote>
  <w:footnote w:id="100">
    <w:p w14:paraId="48450BE6" w14:textId="77777777" w:rsidR="00457669" w:rsidRDefault="00457669">
      <w:pPr>
        <w:pStyle w:val="FootnoteText"/>
      </w:pPr>
      <w:r>
        <w:rPr>
          <w:rStyle w:val="FootnoteReference"/>
        </w:rPr>
        <w:footnoteRef/>
      </w:r>
      <w:r>
        <w:t xml:space="preserve"> </w:t>
      </w:r>
      <w:r w:rsidR="00E22129" w:rsidRPr="00C32C06">
        <w:rPr>
          <w:i/>
          <w:iCs/>
        </w:rPr>
        <w:t>Id.</w:t>
      </w:r>
      <w:r w:rsidR="00292248" w:rsidRPr="00292248">
        <w:t xml:space="preserve"> § 385.713(d)(1)</w:t>
      </w:r>
      <w:r w:rsidR="00E22129">
        <w:t xml:space="preserve"> (2024).</w:t>
      </w:r>
    </w:p>
  </w:footnote>
  <w:footnote w:id="101">
    <w:p w14:paraId="1BE64E00" w14:textId="77777777" w:rsidR="001E72A2" w:rsidRDefault="001E72A2" w:rsidP="00897148">
      <w:pPr>
        <w:pStyle w:val="FootnoteText"/>
      </w:pPr>
      <w:r>
        <w:rPr>
          <w:rStyle w:val="FootnoteReference"/>
        </w:rPr>
        <w:footnoteRef/>
      </w:r>
      <w:r>
        <w:t xml:space="preserve"> </w:t>
      </w:r>
      <w:r w:rsidRPr="001E72A2">
        <w:t>18 C.F.R. § 385.101</w:t>
      </w:r>
      <w:r>
        <w:t>(e) (2024)</w:t>
      </w:r>
      <w:r w:rsidR="00A35827">
        <w:t xml:space="preserve">; </w:t>
      </w:r>
      <w:r w:rsidR="00897148" w:rsidRPr="00897148">
        <w:rPr>
          <w:i/>
          <w:iCs/>
        </w:rPr>
        <w:t>Algonquin Gas Transmission, LLC</w:t>
      </w:r>
      <w:r w:rsidR="00897148" w:rsidRPr="00897148">
        <w:t xml:space="preserve">, 170 FERC ¶ 61,144, </w:t>
      </w:r>
      <w:r w:rsidR="00897148">
        <w:t>at P 5</w:t>
      </w:r>
      <w:r w:rsidR="00897148" w:rsidRPr="00897148">
        <w:t xml:space="preserve"> (2020)</w:t>
      </w:r>
      <w:r w:rsidR="00897148">
        <w:t xml:space="preserve">; </w:t>
      </w:r>
      <w:r w:rsidR="00897148" w:rsidRPr="00897148">
        <w:rPr>
          <w:i/>
          <w:iCs/>
        </w:rPr>
        <w:t>Nat’l Fuel Gas Supply Corp.</w:t>
      </w:r>
      <w:r w:rsidR="00897148" w:rsidRPr="00897148">
        <w:t>, 164 FERC ¶ 61,084</w:t>
      </w:r>
      <w:r w:rsidR="00897148">
        <w:t>, at P 9</w:t>
      </w:r>
      <w:r w:rsidR="00897148" w:rsidRPr="00897148">
        <w:t xml:space="preserve"> (2018)</w:t>
      </w:r>
      <w:r w:rsidR="00B8098A">
        <w:t>;</w:t>
      </w:r>
      <w:r w:rsidR="00B8098A" w:rsidRPr="00B8098A">
        <w:rPr>
          <w:i/>
          <w:iCs/>
        </w:rPr>
        <w:t xml:space="preserve"> </w:t>
      </w:r>
      <w:r w:rsidR="00B8098A" w:rsidRPr="00C32C06">
        <w:rPr>
          <w:i/>
          <w:iCs/>
        </w:rPr>
        <w:t>Aquila Merch. Servs., Inc.</w:t>
      </w:r>
      <w:r w:rsidR="00B8098A" w:rsidRPr="00C32C06">
        <w:t xml:space="preserve">, </w:t>
      </w:r>
      <w:r w:rsidR="00B8098A" w:rsidRPr="000A0807">
        <w:t xml:space="preserve">127 FERC ¶ 61,218, </w:t>
      </w:r>
      <w:r w:rsidR="00B8098A">
        <w:t>at P 28</w:t>
      </w:r>
      <w:r w:rsidR="00B8098A" w:rsidRPr="000A0807">
        <w:t xml:space="preserve"> (2009)</w:t>
      </w:r>
      <w:r w:rsidR="00B8098A">
        <w:t xml:space="preserve">; </w:t>
      </w:r>
      <w:r w:rsidR="00B8098A" w:rsidRPr="00C32C06">
        <w:rPr>
          <w:i/>
          <w:iCs/>
        </w:rPr>
        <w:t xml:space="preserve">Re </w:t>
      </w:r>
      <w:r w:rsidR="00B8098A">
        <w:rPr>
          <w:i/>
          <w:iCs/>
        </w:rPr>
        <w:t>Wis.</w:t>
      </w:r>
      <w:r w:rsidR="00B8098A" w:rsidRPr="00C32C06">
        <w:rPr>
          <w:i/>
          <w:iCs/>
        </w:rPr>
        <w:t xml:space="preserve"> Pub. Serv. Corp.</w:t>
      </w:r>
      <w:r w:rsidR="00B8098A" w:rsidRPr="006076B6">
        <w:t xml:space="preserve">, 60 FERC ¶ 61,279, </w:t>
      </w:r>
      <w:r w:rsidR="00B8098A">
        <w:t xml:space="preserve">at </w:t>
      </w:r>
      <w:r w:rsidR="00B8098A" w:rsidRPr="006076B6">
        <w:t>61,948 (1992)</w:t>
      </w:r>
      <w:r w:rsidR="00B8098A">
        <w:t>.</w:t>
      </w:r>
    </w:p>
  </w:footnote>
  <w:footnote w:id="102">
    <w:p w14:paraId="6D4B0880" w14:textId="77777777" w:rsidR="00307049" w:rsidRDefault="00307049" w:rsidP="00B94A76">
      <w:pPr>
        <w:pStyle w:val="FootnoteText"/>
      </w:pPr>
      <w:r>
        <w:rPr>
          <w:rStyle w:val="FootnoteReference"/>
        </w:rPr>
        <w:footnoteRef/>
      </w:r>
      <w:r>
        <w:t xml:space="preserve"> </w:t>
      </w:r>
      <w:r w:rsidR="004556DE" w:rsidRPr="00B94A76">
        <w:rPr>
          <w:i/>
          <w:iCs/>
        </w:rPr>
        <w:t xml:space="preserve">Re </w:t>
      </w:r>
      <w:r w:rsidR="001A6511">
        <w:rPr>
          <w:i/>
          <w:iCs/>
        </w:rPr>
        <w:t>Hous.</w:t>
      </w:r>
      <w:r w:rsidR="004556DE" w:rsidRPr="00B94A76">
        <w:rPr>
          <w:i/>
          <w:iCs/>
        </w:rPr>
        <w:t xml:space="preserve"> Tex</w:t>
      </w:r>
      <w:r w:rsidR="00B94A76">
        <w:rPr>
          <w:i/>
          <w:iCs/>
        </w:rPr>
        <w:t>.</w:t>
      </w:r>
      <w:r w:rsidR="004556DE" w:rsidRPr="00B94A76">
        <w:rPr>
          <w:i/>
          <w:iCs/>
        </w:rPr>
        <w:t xml:space="preserve"> Gas &amp; Oil Corp.</w:t>
      </w:r>
      <w:r w:rsidR="004556DE" w:rsidRPr="004556DE">
        <w:t xml:space="preserve">, 17 FPC 303, </w:t>
      </w:r>
      <w:r w:rsidR="004556DE">
        <w:t xml:space="preserve">at </w:t>
      </w:r>
      <w:r w:rsidR="004556DE" w:rsidRPr="004556DE">
        <w:t>311 (1957)</w:t>
      </w:r>
      <w:r w:rsidR="00912EA3">
        <w:t xml:space="preserve"> (“</w:t>
      </w:r>
      <w:r w:rsidR="008D13FF">
        <w:t>T</w:t>
      </w:r>
      <w:r w:rsidR="008D13FF" w:rsidRPr="008D13FF">
        <w:t>o permit such answers, giving rise in turn to requests for opportunity for replies thereto, would complicate and prolong proceedings before the Commission, would unduly delay finality of decision, and would be inconsistent with the Commission's timely execution of its functions.</w:t>
      </w:r>
      <w:r w:rsidR="008D13FF">
        <w:t xml:space="preserve">”).  </w:t>
      </w:r>
    </w:p>
  </w:footnote>
  <w:footnote w:id="103">
    <w:p w14:paraId="729200AC" w14:textId="77777777" w:rsidR="009119A5" w:rsidRDefault="009119A5">
      <w:pPr>
        <w:pStyle w:val="FootnoteText"/>
      </w:pPr>
      <w:r>
        <w:rPr>
          <w:rStyle w:val="FootnoteReference"/>
        </w:rPr>
        <w:footnoteRef/>
      </w:r>
      <w:r>
        <w:t xml:space="preserve"> </w:t>
      </w:r>
      <w:r w:rsidR="00CB437F">
        <w:t xml:space="preserve">Venture Global </w:t>
      </w:r>
      <w:r w:rsidR="00B92A4B">
        <w:t xml:space="preserve">Aug. 15, 2024 </w:t>
      </w:r>
      <w:r w:rsidR="00C134DB">
        <w:t xml:space="preserve">Motion for Leave to Answer and </w:t>
      </w:r>
      <w:r>
        <w:t xml:space="preserve">Answer </w:t>
      </w:r>
      <w:r w:rsidR="003D5B83">
        <w:t xml:space="preserve">at 2 </w:t>
      </w:r>
      <w:r>
        <w:t>(“</w:t>
      </w:r>
      <w:r w:rsidR="003D5B83" w:rsidRPr="003D5B83">
        <w:t xml:space="preserve">The Commission accepts answers to rehearing requests for good cause when they are likely to assist with its decision-making process. </w:t>
      </w:r>
      <w:r w:rsidR="003D5B83">
        <w:t xml:space="preserve"> </w:t>
      </w:r>
      <w:r w:rsidR="003D5B83" w:rsidRPr="003D5B83">
        <w:t>This answer will do just that, which provides the Commission good cause to accept it.</w:t>
      </w:r>
      <w:r w:rsidR="003D5B83">
        <w:t>”) (citations omitted).</w:t>
      </w:r>
    </w:p>
  </w:footnote>
  <w:footnote w:id="104">
    <w:p w14:paraId="6630AF28" w14:textId="77777777" w:rsidR="00C73F33" w:rsidRPr="00105826" w:rsidRDefault="00C73F33" w:rsidP="00887261">
      <w:pPr>
        <w:pStyle w:val="FootnoteText"/>
        <w:widowControl/>
      </w:pPr>
      <w:r>
        <w:rPr>
          <w:rStyle w:val="FootnoteReference"/>
        </w:rPr>
        <w:footnoteRef/>
      </w:r>
      <w:r>
        <w:t xml:space="preserve"> </w:t>
      </w:r>
      <w:r>
        <w:rPr>
          <w:i/>
          <w:iCs/>
        </w:rPr>
        <w:t>See</w:t>
      </w:r>
      <w:r>
        <w:t xml:space="preserve"> </w:t>
      </w:r>
      <w:r w:rsidRPr="005F46EB">
        <w:rPr>
          <w:i/>
          <w:iCs/>
        </w:rPr>
        <w:t>Cal. Indep. Sys. Operator Corp.</w:t>
      </w:r>
      <w:r w:rsidRPr="001D0177">
        <w:t xml:space="preserve">, 149 FERC ¶ 61,058, </w:t>
      </w:r>
      <w:r>
        <w:t>at PP 20-22</w:t>
      </w:r>
      <w:r w:rsidRPr="001D0177">
        <w:t xml:space="preserve"> (2014)</w:t>
      </w:r>
      <w:r>
        <w:t xml:space="preserve"> (denying request for rehearing of Commission’s rejection of answer to an answer based on </w:t>
      </w:r>
      <w:r w:rsidRPr="00457669">
        <w:t xml:space="preserve">18 C.F.R. § 385.213(a)(2) </w:t>
      </w:r>
      <w:r>
        <w:t xml:space="preserve">and agency discretion to manage its own dockets); </w:t>
      </w:r>
      <w:r>
        <w:rPr>
          <w:i/>
          <w:iCs/>
        </w:rPr>
        <w:t>see also</w:t>
      </w:r>
      <w:r>
        <w:t xml:space="preserve"> </w:t>
      </w:r>
      <w:r w:rsidRPr="00C32C06">
        <w:rPr>
          <w:i/>
        </w:rPr>
        <w:t>Kourouma v.</w:t>
      </w:r>
      <w:r w:rsidRPr="005F46EB">
        <w:t xml:space="preserve"> </w:t>
      </w:r>
      <w:r w:rsidRPr="00C32C06">
        <w:rPr>
          <w:i/>
        </w:rPr>
        <w:t>FERC</w:t>
      </w:r>
      <w:r w:rsidRPr="005F46EB">
        <w:t>, 723 F.3d 274, 279-80 (D.C. Cir. 2013)</w:t>
      </w:r>
      <w:r>
        <w:t xml:space="preserve"> </w:t>
      </w:r>
      <w:r w:rsidRPr="00F4610D">
        <w:t>(finding it was not an abuse of discretion for the Commission to adhere to Rule 213 and deny an answer);</w:t>
      </w:r>
      <w:r>
        <w:t xml:space="preserve"> </w:t>
      </w:r>
      <w:r w:rsidRPr="00C32C06">
        <w:rPr>
          <w:i/>
        </w:rPr>
        <w:t>Fla. Mun. Power Agency v. FERC</w:t>
      </w:r>
      <w:r w:rsidRPr="005F46EB">
        <w:t>, 315 F.3d 362, 366 (D.C. Cir. 2003)</w:t>
      </w:r>
      <w:r>
        <w:t xml:space="preserve"> </w:t>
      </w:r>
      <w:r w:rsidRPr="00F4610D">
        <w:t>(citing</w:t>
      </w:r>
      <w:r>
        <w:t xml:space="preserve"> </w:t>
      </w:r>
      <w:r w:rsidRPr="00F4610D">
        <w:rPr>
          <w:i/>
          <w:iCs/>
        </w:rPr>
        <w:t>Telecomm.</w:t>
      </w:r>
      <w:r>
        <w:rPr>
          <w:i/>
          <w:iCs/>
        </w:rPr>
        <w:t xml:space="preserve"> </w:t>
      </w:r>
      <w:r w:rsidRPr="00C32C06">
        <w:rPr>
          <w:i/>
        </w:rPr>
        <w:t>Resellers Assoc. v. FCC</w:t>
      </w:r>
      <w:r w:rsidRPr="005F46EB">
        <w:t>, 141 F.3d 1193, 1196 (D.C. Cir. 1998)</w:t>
      </w:r>
      <w:r>
        <w:t xml:space="preserve"> </w:t>
      </w:r>
      <w:r w:rsidRPr="00F4610D">
        <w:t>(administrative agencies enjoy broad discretion to manage their own dockets));</w:t>
      </w:r>
      <w:r>
        <w:t xml:space="preserve"> </w:t>
      </w:r>
      <w:r w:rsidRPr="00C32C06">
        <w:rPr>
          <w:i/>
        </w:rPr>
        <w:t>Ameren Energy Generating Co.</w:t>
      </w:r>
      <w:r w:rsidRPr="005F46EB">
        <w:t xml:space="preserve">, </w:t>
      </w:r>
      <w:r w:rsidR="00887261">
        <w:t xml:space="preserve">                 </w:t>
      </w:r>
      <w:r w:rsidRPr="005F46EB">
        <w:t>108 FERC ¶ 61,081</w:t>
      </w:r>
      <w:r w:rsidRPr="00F4610D">
        <w:t>, at P</w:t>
      </w:r>
      <w:r>
        <w:t> </w:t>
      </w:r>
      <w:r w:rsidRPr="00F4610D">
        <w:t>23 (2004) (“The courts have repeatedly recognized that the Commission has broad discretion in managing its proceedings.”) (citations omitted).</w:t>
      </w:r>
    </w:p>
  </w:footnote>
  <w:footnote w:id="105">
    <w:p w14:paraId="74BC884A" w14:textId="77777777" w:rsidR="00BA3B34" w:rsidRDefault="00BA3B34" w:rsidP="0063028F">
      <w:pPr>
        <w:pStyle w:val="FootnoteText"/>
      </w:pPr>
      <w:r>
        <w:rPr>
          <w:rStyle w:val="FootnoteReference"/>
        </w:rPr>
        <w:footnoteRef/>
      </w:r>
      <w:r>
        <w:t xml:space="preserve"> </w:t>
      </w:r>
      <w:r w:rsidR="0063028F">
        <w:t>15 U.S.C. § 717r(a).</w:t>
      </w:r>
    </w:p>
  </w:footnote>
  <w:footnote w:id="106">
    <w:p w14:paraId="7FC57B43" w14:textId="77777777" w:rsidR="002E0BA8" w:rsidRPr="009B60A4" w:rsidRDefault="002E0BA8" w:rsidP="009B60A4">
      <w:pPr>
        <w:pStyle w:val="FootnoteText"/>
      </w:pPr>
      <w:r>
        <w:rPr>
          <w:rStyle w:val="FootnoteReference"/>
        </w:rPr>
        <w:footnoteRef/>
      </w:r>
      <w:r>
        <w:t xml:space="preserve"> </w:t>
      </w:r>
      <w:r w:rsidRPr="002E0BA8">
        <w:rPr>
          <w:i/>
          <w:iCs/>
        </w:rPr>
        <w:t>Colonial Pipeline Co.</w:t>
      </w:r>
      <w:r w:rsidRPr="002E0BA8">
        <w:t>, 186 FERC ¶ 61,213</w:t>
      </w:r>
      <w:r w:rsidR="009B60A4">
        <w:t>, at P 10 &amp; n.19</w:t>
      </w:r>
      <w:r w:rsidRPr="002E0BA8">
        <w:t xml:space="preserve"> (2024)</w:t>
      </w:r>
      <w:r w:rsidR="009B60A4">
        <w:t xml:space="preserve">; </w:t>
      </w:r>
      <w:r w:rsidR="009B60A4">
        <w:rPr>
          <w:i/>
          <w:iCs/>
        </w:rPr>
        <w:t>see also</w:t>
      </w:r>
      <w:r w:rsidR="009B60A4">
        <w:t xml:space="preserve"> </w:t>
      </w:r>
      <w:r w:rsidR="001A61AE" w:rsidRPr="001A61AE">
        <w:rPr>
          <w:i/>
          <w:iCs/>
        </w:rPr>
        <w:t>Ind. Util. Regul. Comm’n v. FERC</w:t>
      </w:r>
      <w:r w:rsidR="001A61AE" w:rsidRPr="001A61AE">
        <w:t>, 668 F.3d 735, 736 (D.C. Cir. 2012) (“We dismiss the petition insofar as it challenges the order on grounds [petitioner] did not raise with sufficient specificity in its request for rehearing by the Commission.”).</w:t>
      </w:r>
    </w:p>
  </w:footnote>
  <w:footnote w:id="107">
    <w:p w14:paraId="5616A742" w14:textId="77777777" w:rsidR="00DD32C7" w:rsidRDefault="00DD32C7" w:rsidP="00DD32C7">
      <w:pPr>
        <w:pStyle w:val="FootnoteText"/>
      </w:pPr>
      <w:r>
        <w:rPr>
          <w:rStyle w:val="FootnoteReference"/>
        </w:rPr>
        <w:footnoteRef/>
      </w:r>
      <w:r>
        <w:t xml:space="preserve"> </w:t>
      </w:r>
      <w:r w:rsidRPr="00DD32C7">
        <w:rPr>
          <w:i/>
          <w:iCs/>
        </w:rPr>
        <w:t>Tenn. Gas Pipeline Co.</w:t>
      </w:r>
      <w:r w:rsidR="00C218AB">
        <w:rPr>
          <w:i/>
          <w:iCs/>
        </w:rPr>
        <w:t>, L.L.C.</w:t>
      </w:r>
      <w:r w:rsidRPr="00DD32C7">
        <w:t>, 156 FERC ¶ 61,007</w:t>
      </w:r>
      <w:r>
        <w:t>, at P 7</w:t>
      </w:r>
      <w:r w:rsidRPr="00DD32C7">
        <w:t xml:space="preserve"> (2016)</w:t>
      </w:r>
      <w:r w:rsidR="001F5AE5">
        <w:t xml:space="preserve">; </w:t>
      </w:r>
      <w:r w:rsidR="001F5AE5" w:rsidRPr="001F5AE5">
        <w:rPr>
          <w:i/>
          <w:iCs/>
        </w:rPr>
        <w:t>see also Alcoa Power Generating, Inc.</w:t>
      </w:r>
      <w:r w:rsidR="001F5AE5" w:rsidRPr="001F5AE5">
        <w:t>, 144 FERC ¶ 61,218, at P 10 (2013) (“The Commission, however, expects all grounds to be set forth in the rehearing request and will dismiss any ground only incorporated by reference”).</w:t>
      </w:r>
    </w:p>
  </w:footnote>
  <w:footnote w:id="108">
    <w:p w14:paraId="3E1B7ACC" w14:textId="77777777" w:rsidR="001F5AE5" w:rsidRPr="001F5AE5" w:rsidRDefault="001F5AE5">
      <w:pPr>
        <w:pStyle w:val="FootnoteText"/>
      </w:pPr>
      <w:r>
        <w:rPr>
          <w:rStyle w:val="FootnoteReference"/>
        </w:rPr>
        <w:footnoteRef/>
      </w:r>
      <w:r>
        <w:t xml:space="preserve"> </w:t>
      </w:r>
      <w:r w:rsidR="003F3162" w:rsidRPr="00DD32C7">
        <w:rPr>
          <w:i/>
          <w:iCs/>
        </w:rPr>
        <w:t>Tenn. Gas Pipeline Co.</w:t>
      </w:r>
      <w:r w:rsidR="003F3162" w:rsidRPr="00DD32C7">
        <w:t>, 156 FERC ¶ 61,007</w:t>
      </w:r>
      <w:r w:rsidR="003F3162">
        <w:t xml:space="preserve"> at P 7 </w:t>
      </w:r>
      <w:r>
        <w:t>(citing</w:t>
      </w:r>
      <w:r w:rsidR="001349F3">
        <w:t xml:space="preserve"> </w:t>
      </w:r>
      <w:r w:rsidR="001349F3" w:rsidRPr="001349F3">
        <w:rPr>
          <w:i/>
          <w:iCs/>
        </w:rPr>
        <w:t>Allegheny Power v. FERC</w:t>
      </w:r>
      <w:r w:rsidR="001349F3" w:rsidRPr="001349F3">
        <w:t>, 437 F.3d 1215, 1220 (D.C. Cir. 2006)</w:t>
      </w:r>
      <w:r w:rsidR="001349F3">
        <w:t xml:space="preserve"> </w:t>
      </w:r>
      <w:r w:rsidR="001349F3" w:rsidRPr="001349F3">
        <w:t>(rejecting argument made on rehearing to FERC by incorporating by reference objections made in other pleadings)</w:t>
      </w:r>
      <w:r w:rsidR="001349F3">
        <w:t xml:space="preserve">).  </w:t>
      </w:r>
    </w:p>
  </w:footnote>
  <w:footnote w:id="109">
    <w:p w14:paraId="3F42CC8F" w14:textId="77777777" w:rsidR="0039301C" w:rsidRDefault="0039301C" w:rsidP="0039301C">
      <w:pPr>
        <w:pStyle w:val="FootnoteText"/>
      </w:pPr>
      <w:r>
        <w:rPr>
          <w:rStyle w:val="FootnoteReference"/>
        </w:rPr>
        <w:footnoteRef/>
      </w:r>
      <w:r>
        <w:t xml:space="preserve"> Venture Global Rehearing Request at 45-46.  </w:t>
      </w:r>
    </w:p>
  </w:footnote>
  <w:footnote w:id="110">
    <w:p w14:paraId="00AE6BBC" w14:textId="77777777" w:rsidR="0039301C" w:rsidRDefault="0039301C" w:rsidP="0039301C">
      <w:pPr>
        <w:pStyle w:val="FootnoteText"/>
      </w:pPr>
      <w:r>
        <w:rPr>
          <w:rStyle w:val="FootnoteReference"/>
        </w:rPr>
        <w:footnoteRef/>
      </w:r>
      <w:r>
        <w:t xml:space="preserve"> </w:t>
      </w:r>
      <w:r w:rsidR="001B037B">
        <w:rPr>
          <w:i/>
          <w:iCs/>
        </w:rPr>
        <w:t>Id.</w:t>
      </w:r>
      <w:r w:rsidR="001B037B">
        <w:t xml:space="preserve"> </w:t>
      </w:r>
      <w:r>
        <w:t xml:space="preserve">at 46.  </w:t>
      </w:r>
    </w:p>
  </w:footnote>
  <w:footnote w:id="111">
    <w:p w14:paraId="3E67C059" w14:textId="77777777" w:rsidR="0039301C" w:rsidRDefault="0039301C" w:rsidP="0039301C">
      <w:pPr>
        <w:pStyle w:val="FootnoteText"/>
      </w:pPr>
      <w:r>
        <w:rPr>
          <w:rStyle w:val="FootnoteReference"/>
        </w:rPr>
        <w:footnoteRef/>
      </w:r>
      <w:r>
        <w:t xml:space="preserve"> </w:t>
      </w:r>
      <w:r w:rsidR="001B037B">
        <w:rPr>
          <w:i/>
          <w:iCs/>
        </w:rPr>
        <w:t>Id.</w:t>
      </w:r>
      <w:r>
        <w:t xml:space="preserve"> (citing </w:t>
      </w:r>
      <w:r w:rsidR="00DA229E" w:rsidRPr="004645B6">
        <w:t>18 C.F.R. § 385.713</w:t>
      </w:r>
      <w:r w:rsidR="001157C1">
        <w:t>(c)(3)</w:t>
      </w:r>
      <w:r>
        <w:t>).</w:t>
      </w:r>
    </w:p>
  </w:footnote>
  <w:footnote w:id="112">
    <w:p w14:paraId="2D4AE0E3" w14:textId="77777777" w:rsidR="0039301C" w:rsidRPr="00FF04D0" w:rsidRDefault="0039301C" w:rsidP="0039301C">
      <w:pPr>
        <w:pStyle w:val="FootnoteText"/>
      </w:pPr>
      <w:r>
        <w:rPr>
          <w:rStyle w:val="FootnoteReference"/>
        </w:rPr>
        <w:footnoteRef/>
      </w:r>
      <w:r>
        <w:t xml:space="preserve"> </w:t>
      </w:r>
      <w:r w:rsidR="001B037B">
        <w:rPr>
          <w:i/>
          <w:iCs/>
        </w:rPr>
        <w:t>Id.</w:t>
      </w:r>
      <w:r>
        <w:t xml:space="preserve"> at 46-47; </w:t>
      </w:r>
      <w:r>
        <w:rPr>
          <w:i/>
          <w:iCs/>
        </w:rPr>
        <w:t>see also id.</w:t>
      </w:r>
      <w:r>
        <w:t xml:space="preserve"> at 47 (further explaining that, therefore, a central reason for the Commission’s general policy of not considering new evidence on rehearing is not applicable).  </w:t>
      </w:r>
    </w:p>
  </w:footnote>
  <w:footnote w:id="113">
    <w:p w14:paraId="2CA23F81" w14:textId="77777777" w:rsidR="0039301C" w:rsidRDefault="0039301C" w:rsidP="0039301C">
      <w:pPr>
        <w:pStyle w:val="FootnoteText"/>
      </w:pPr>
      <w:r>
        <w:rPr>
          <w:rStyle w:val="FootnoteReference"/>
        </w:rPr>
        <w:footnoteRef/>
      </w:r>
      <w:r>
        <w:t xml:space="preserve"> </w:t>
      </w:r>
      <w:r w:rsidR="001B037B">
        <w:rPr>
          <w:i/>
          <w:iCs/>
        </w:rPr>
        <w:t>Id.</w:t>
      </w:r>
      <w:r>
        <w:t xml:space="preserve"> at 47-48 (citing </w:t>
      </w:r>
      <w:r w:rsidRPr="005E7910">
        <w:rPr>
          <w:i/>
          <w:iCs/>
        </w:rPr>
        <w:t>Riverstart Solar Park LLC</w:t>
      </w:r>
      <w:r w:rsidRPr="005E7910">
        <w:t>, 185 FERC ¶ 61,101, at P 9 (2023)</w:t>
      </w:r>
      <w:r>
        <w:t xml:space="preserve">; </w:t>
      </w:r>
      <w:r w:rsidRPr="005E7910">
        <w:rPr>
          <w:i/>
          <w:iCs/>
        </w:rPr>
        <w:t>Cooley v. FERC</w:t>
      </w:r>
      <w:r w:rsidRPr="005E7910">
        <w:t>, 843 F.2d 1464, 1473 (D.C. Cir. 1988);</w:t>
      </w:r>
      <w:r>
        <w:t xml:space="preserve"> and</w:t>
      </w:r>
      <w:r w:rsidRPr="005E7910">
        <w:t xml:space="preserve"> </w:t>
      </w:r>
      <w:r w:rsidRPr="005E7910">
        <w:rPr>
          <w:i/>
          <w:iCs/>
        </w:rPr>
        <w:t>Friends of the River v. FERC</w:t>
      </w:r>
      <w:r w:rsidRPr="005E7910">
        <w:t>, 720 F.2d 93, 98 n.6 (D.C. Cir. 1983)</w:t>
      </w:r>
      <w:r w:rsidR="00C02B92">
        <w:t xml:space="preserve"> (</w:t>
      </w:r>
      <w:r w:rsidR="00C02B92" w:rsidRPr="005F46EB">
        <w:rPr>
          <w:i/>
          <w:iCs/>
        </w:rPr>
        <w:t>Friends of the River</w:t>
      </w:r>
      <w:r w:rsidR="00C02B92">
        <w:t>)</w:t>
      </w:r>
      <w:r>
        <w:t xml:space="preserve">).  </w:t>
      </w:r>
    </w:p>
  </w:footnote>
  <w:footnote w:id="114">
    <w:p w14:paraId="676B05F0" w14:textId="77777777" w:rsidR="0039301C" w:rsidRDefault="0039301C" w:rsidP="0039301C">
      <w:pPr>
        <w:pStyle w:val="FootnoteText"/>
      </w:pPr>
      <w:r>
        <w:rPr>
          <w:rStyle w:val="FootnoteReference"/>
        </w:rPr>
        <w:footnoteRef/>
      </w:r>
      <w:r>
        <w:t xml:space="preserve"> </w:t>
      </w:r>
      <w:r w:rsidRPr="00BD502D">
        <w:rPr>
          <w:i/>
          <w:iCs/>
        </w:rPr>
        <w:t>Columbia Gulf Transmission, LLC</w:t>
      </w:r>
      <w:r w:rsidRPr="00BD502D">
        <w:t xml:space="preserve">, 180 FERC ¶ 61,206, </w:t>
      </w:r>
      <w:r>
        <w:t>at P 73</w:t>
      </w:r>
      <w:r w:rsidRPr="00BD502D">
        <w:t xml:space="preserve"> (2022)</w:t>
      </w:r>
      <w:r>
        <w:t xml:space="preserve"> (citing </w:t>
      </w:r>
      <w:r w:rsidRPr="00CD72DC">
        <w:rPr>
          <w:i/>
          <w:iCs/>
        </w:rPr>
        <w:t>Mountain Valley Pipeline, LLC</w:t>
      </w:r>
      <w:r w:rsidRPr="00CD72DC">
        <w:t>, 163 FERC ¶ 61,197, at P 16 (2018)</w:t>
      </w:r>
      <w:r>
        <w:t xml:space="preserve">).  </w:t>
      </w:r>
    </w:p>
  </w:footnote>
  <w:footnote w:id="115">
    <w:p w14:paraId="0FCFAC5F" w14:textId="77777777" w:rsidR="0039301C" w:rsidRDefault="0039301C" w:rsidP="0039301C">
      <w:pPr>
        <w:pStyle w:val="FootnoteText"/>
      </w:pPr>
      <w:r>
        <w:rPr>
          <w:rStyle w:val="FootnoteReference"/>
        </w:rPr>
        <w:footnoteRef/>
      </w:r>
      <w:r>
        <w:t xml:space="preserve"> </w:t>
      </w:r>
      <w:r w:rsidRPr="0079587A">
        <w:t>18 C.F.R. § 385.713(d)(1);</w:t>
      </w:r>
      <w:r>
        <w:t xml:space="preserve"> </w:t>
      </w:r>
      <w:r w:rsidRPr="0079587A">
        <w:rPr>
          <w:i/>
          <w:iCs/>
        </w:rPr>
        <w:t>see, e.g.,</w:t>
      </w:r>
      <w:r>
        <w:rPr>
          <w:i/>
          <w:iCs/>
        </w:rPr>
        <w:t xml:space="preserve"> </w:t>
      </w:r>
      <w:r w:rsidRPr="0079587A">
        <w:rPr>
          <w:i/>
          <w:iCs/>
        </w:rPr>
        <w:t>PJM Interconnection, L.L.C</w:t>
      </w:r>
      <w:r w:rsidRPr="0079587A">
        <w:t>., 126 FERC ¶</w:t>
      </w:r>
      <w:r w:rsidR="00705FAB">
        <w:t> </w:t>
      </w:r>
      <w:r w:rsidRPr="0079587A">
        <w:t>61,030, at P 15 &amp; n.10 (2009).</w:t>
      </w:r>
    </w:p>
  </w:footnote>
  <w:footnote w:id="116">
    <w:p w14:paraId="2D14665F" w14:textId="77777777" w:rsidR="0039301C" w:rsidRPr="006C6170" w:rsidRDefault="0039301C" w:rsidP="00A12661">
      <w:pPr>
        <w:pStyle w:val="FootnoteText"/>
      </w:pPr>
      <w:r>
        <w:rPr>
          <w:rStyle w:val="FootnoteReference"/>
        </w:rPr>
        <w:footnoteRef/>
      </w:r>
      <w:r>
        <w:t xml:space="preserve"> </w:t>
      </w:r>
      <w:r w:rsidR="00FB78B1">
        <w:t>Rehearing Order,</w:t>
      </w:r>
      <w:r>
        <w:t xml:space="preserve"> </w:t>
      </w:r>
      <w:r w:rsidR="009C30CB" w:rsidRPr="002117BB">
        <w:t>189 FERC ¶ 61,148</w:t>
      </w:r>
      <w:r w:rsidR="009C30CB">
        <w:t xml:space="preserve"> at P 185</w:t>
      </w:r>
      <w:r w:rsidR="009C31E9">
        <w:t xml:space="preserve"> (citing the “</w:t>
      </w:r>
      <w:r w:rsidR="009C31E9" w:rsidRPr="009C31E9">
        <w:t xml:space="preserve">D.C. Circuit’s specific directives to the Commission in </w:t>
      </w:r>
      <w:r w:rsidR="009C31E9" w:rsidRPr="009C31E9">
        <w:rPr>
          <w:i/>
          <w:iCs/>
        </w:rPr>
        <w:t xml:space="preserve">Healthy Gulf </w:t>
      </w:r>
      <w:r w:rsidR="009C31E9" w:rsidRPr="009C31E9">
        <w:t xml:space="preserve">and </w:t>
      </w:r>
      <w:r w:rsidR="00A12661" w:rsidRPr="00167414">
        <w:rPr>
          <w:i/>
          <w:iCs/>
        </w:rPr>
        <w:t>City of Port Isabel</w:t>
      </w:r>
      <w:r w:rsidR="009C31E9" w:rsidRPr="009C31E9">
        <w:t>,</w:t>
      </w:r>
      <w:r w:rsidR="009C31E9">
        <w:t>”</w:t>
      </w:r>
      <w:r w:rsidR="009C31E9" w:rsidRPr="009C31E9">
        <w:t xml:space="preserve"> </w:t>
      </w:r>
      <w:r w:rsidR="00E112CA">
        <w:t>as</w:t>
      </w:r>
      <w:r w:rsidR="009C31E9" w:rsidRPr="009C31E9">
        <w:t xml:space="preserve"> the </w:t>
      </w:r>
      <w:r w:rsidR="00E112CA">
        <w:t>basis</w:t>
      </w:r>
      <w:r w:rsidR="009C31E9" w:rsidRPr="009C31E9">
        <w:t xml:space="preserve"> for </w:t>
      </w:r>
      <w:r w:rsidR="00E112CA">
        <w:t>“</w:t>
      </w:r>
      <w:r w:rsidR="009C31E9" w:rsidRPr="009C31E9">
        <w:t>conducting additional environmental review</w:t>
      </w:r>
      <w:r w:rsidR="00E112CA">
        <w:t>”)</w:t>
      </w:r>
      <w:r w:rsidR="001D2B09">
        <w:t>.</w:t>
      </w:r>
      <w:r w:rsidR="00154D8F">
        <w:t xml:space="preserve">  </w:t>
      </w:r>
      <w:r w:rsidR="00345E31">
        <w:t xml:space="preserve">Accordingly, we find </w:t>
      </w:r>
      <w:r w:rsidR="00FA49E4">
        <w:t xml:space="preserve">Venture Global’s cited cases inapposite.  </w:t>
      </w:r>
      <w:r w:rsidR="00C30A3E">
        <w:t xml:space="preserve">Venture Global Rehearing Request at 47-48 (citing </w:t>
      </w:r>
      <w:r w:rsidR="00C30A3E" w:rsidRPr="005E7910">
        <w:rPr>
          <w:i/>
          <w:iCs/>
        </w:rPr>
        <w:t>Riverstart Solar Park LLC</w:t>
      </w:r>
      <w:r w:rsidR="00C30A3E" w:rsidRPr="005E7910">
        <w:t>, 185 FERC ¶ 61,101</w:t>
      </w:r>
      <w:r w:rsidR="00C30A3E">
        <w:t xml:space="preserve">; </w:t>
      </w:r>
      <w:r w:rsidR="00C30A3E" w:rsidRPr="005E7910">
        <w:rPr>
          <w:i/>
          <w:iCs/>
        </w:rPr>
        <w:t>Cooley v. FERC</w:t>
      </w:r>
      <w:r w:rsidR="00C30A3E" w:rsidRPr="005E7910">
        <w:t>, 843 F.2d 1464;</w:t>
      </w:r>
      <w:r w:rsidR="00C30A3E">
        <w:t xml:space="preserve"> and</w:t>
      </w:r>
      <w:r w:rsidR="00C30A3E" w:rsidRPr="005E7910">
        <w:t xml:space="preserve"> </w:t>
      </w:r>
      <w:r w:rsidR="00C30A3E" w:rsidRPr="005E7910">
        <w:rPr>
          <w:i/>
          <w:iCs/>
        </w:rPr>
        <w:t>Friends of the River</w:t>
      </w:r>
      <w:r w:rsidR="00C30A3E" w:rsidRPr="005E7910">
        <w:t xml:space="preserve">, 720 F.2d </w:t>
      </w:r>
      <w:r w:rsidR="00F864BB">
        <w:t>93</w:t>
      </w:r>
      <w:r w:rsidR="00C30A3E">
        <w:t>).</w:t>
      </w:r>
    </w:p>
  </w:footnote>
  <w:footnote w:id="117">
    <w:p w14:paraId="02A80449" w14:textId="77777777" w:rsidR="0039301C" w:rsidRDefault="0039301C" w:rsidP="0039301C">
      <w:pPr>
        <w:pStyle w:val="FootnoteText"/>
      </w:pPr>
      <w:r>
        <w:rPr>
          <w:rStyle w:val="FootnoteReference"/>
        </w:rPr>
        <w:footnoteRef/>
      </w:r>
      <w:r>
        <w:t xml:space="preserve"> </w:t>
      </w:r>
      <w:r w:rsidRPr="000440AF">
        <w:rPr>
          <w:i/>
          <w:iCs/>
        </w:rPr>
        <w:t>See</w:t>
      </w:r>
      <w:r w:rsidRPr="000440AF">
        <w:t xml:space="preserve"> </w:t>
      </w:r>
      <w:r w:rsidRPr="000440AF">
        <w:rPr>
          <w:i/>
          <w:iCs/>
        </w:rPr>
        <w:t>City of Port Isabel</w:t>
      </w:r>
      <w:r w:rsidRPr="000440AF">
        <w:t xml:space="preserve">, 111 F.4th at 1210-11 (citing </w:t>
      </w:r>
      <w:r w:rsidRPr="000440AF">
        <w:rPr>
          <w:i/>
          <w:iCs/>
        </w:rPr>
        <w:t>Marsh v. Or. Nat. Res. Council</w:t>
      </w:r>
      <w:r w:rsidRPr="000440AF">
        <w:t xml:space="preserve">, 490 U.S. 360, at 371 (1989) </w:t>
      </w:r>
      <w:r w:rsidR="006A72FE">
        <w:t>(</w:t>
      </w:r>
      <w:r w:rsidR="006A72FE" w:rsidRPr="005F46EB">
        <w:rPr>
          <w:i/>
          <w:iCs/>
        </w:rPr>
        <w:t>Marsh</w:t>
      </w:r>
      <w:r w:rsidR="006A72FE">
        <w:t xml:space="preserve">) </w:t>
      </w:r>
      <w:r w:rsidRPr="000440AF">
        <w:t xml:space="preserve">(requiring supplemental NEPA because the Commission included significant, new analysis in an order and determining that this failure to engage in supplemental NEPA prejudiced the public’s ability to comment on the Commission’s analysis and underlying data upon which it relied, which is insufficient under NEPA); </w:t>
      </w:r>
      <w:r w:rsidRPr="000440AF">
        <w:rPr>
          <w:i/>
          <w:iCs/>
        </w:rPr>
        <w:t>see also</w:t>
      </w:r>
      <w:r w:rsidRPr="000440AF">
        <w:t xml:space="preserve"> 42 U.S.C. § 4336a(c) (requiring a request for public comment). </w:t>
      </w:r>
    </w:p>
  </w:footnote>
  <w:footnote w:id="118">
    <w:p w14:paraId="02B919B9" w14:textId="77777777" w:rsidR="0039301C" w:rsidRDefault="0039301C" w:rsidP="0039301C">
      <w:pPr>
        <w:pStyle w:val="FootnoteText"/>
      </w:pPr>
      <w:r>
        <w:rPr>
          <w:rStyle w:val="FootnoteReference"/>
        </w:rPr>
        <w:footnoteRef/>
      </w:r>
      <w:r>
        <w:t xml:space="preserve"> </w:t>
      </w:r>
      <w:r w:rsidRPr="00223DCF">
        <w:rPr>
          <w:i/>
          <w:iCs/>
        </w:rPr>
        <w:t>Marsh</w:t>
      </w:r>
      <w:r w:rsidRPr="00223DCF">
        <w:t>, 490 U.S. at 375-76</w:t>
      </w:r>
      <w:r>
        <w:t>.</w:t>
      </w:r>
    </w:p>
  </w:footnote>
  <w:footnote w:id="119">
    <w:p w14:paraId="121C8057" w14:textId="77777777" w:rsidR="0067595C" w:rsidRDefault="0067595C" w:rsidP="0067595C">
      <w:pPr>
        <w:pStyle w:val="FootnoteText"/>
      </w:pPr>
      <w:r>
        <w:rPr>
          <w:rStyle w:val="FootnoteReference"/>
        </w:rPr>
        <w:footnoteRef/>
      </w:r>
      <w:r>
        <w:t xml:space="preserve"> </w:t>
      </w:r>
      <w:r>
        <w:rPr>
          <w:i/>
          <w:iCs/>
        </w:rPr>
        <w:t xml:space="preserve">See </w:t>
      </w:r>
      <w:r w:rsidR="00773226">
        <w:t xml:space="preserve">EPA, </w:t>
      </w:r>
      <w:r w:rsidRPr="00C733EC">
        <w:rPr>
          <w:i/>
          <w:iCs/>
        </w:rPr>
        <w:t xml:space="preserve">Reconsideration of the </w:t>
      </w:r>
      <w:r>
        <w:rPr>
          <w:i/>
          <w:iCs/>
        </w:rPr>
        <w:t>Nat’l</w:t>
      </w:r>
      <w:r w:rsidRPr="00C733EC">
        <w:rPr>
          <w:i/>
          <w:iCs/>
        </w:rPr>
        <w:t xml:space="preserve"> Ambient Air Quality Standards for Particulate Matter</w:t>
      </w:r>
      <w:r w:rsidRPr="00C733EC">
        <w:t>, 89</w:t>
      </w:r>
      <w:r>
        <w:t xml:space="preserve"> </w:t>
      </w:r>
      <w:r w:rsidRPr="00C733EC">
        <w:t>Fed. Reg. 16202 (</w:t>
      </w:r>
      <w:r>
        <w:t>May</w:t>
      </w:r>
      <w:r w:rsidRPr="00C733EC">
        <w:t xml:space="preserve"> 6, 2024)</w:t>
      </w:r>
      <w:r>
        <w:t>.</w:t>
      </w:r>
    </w:p>
  </w:footnote>
  <w:footnote w:id="120">
    <w:p w14:paraId="6A744192" w14:textId="77777777" w:rsidR="0067595C" w:rsidRDefault="0067595C" w:rsidP="0067595C">
      <w:pPr>
        <w:pStyle w:val="FootnoteText"/>
      </w:pPr>
      <w:r>
        <w:rPr>
          <w:rStyle w:val="FootnoteReference"/>
        </w:rPr>
        <w:footnoteRef/>
      </w:r>
      <w:r w:rsidR="00722FB8">
        <w:t xml:space="preserve"> Petitioners’ Rehearing Request </w:t>
      </w:r>
      <w:r>
        <w:t xml:space="preserve">at 151-54.  </w:t>
      </w:r>
    </w:p>
  </w:footnote>
  <w:footnote w:id="121">
    <w:p w14:paraId="09046A8F" w14:textId="77777777" w:rsidR="0067595C" w:rsidRDefault="0067595C" w:rsidP="0067595C">
      <w:pPr>
        <w:pStyle w:val="FootnoteText"/>
      </w:pPr>
      <w:r>
        <w:rPr>
          <w:rStyle w:val="FootnoteReference"/>
        </w:rPr>
        <w:footnoteRef/>
      </w:r>
      <w:r>
        <w:t xml:space="preserve"> </w:t>
      </w:r>
      <w:r w:rsidRPr="00C32C06">
        <w:rPr>
          <w:i/>
          <w:iCs/>
        </w:rPr>
        <w:t>Id.</w:t>
      </w:r>
      <w:r>
        <w:t xml:space="preserve"> at 155.  </w:t>
      </w:r>
    </w:p>
  </w:footnote>
  <w:footnote w:id="122">
    <w:p w14:paraId="09789C29" w14:textId="77777777" w:rsidR="0067595C" w:rsidRPr="00535C00" w:rsidRDefault="0067595C" w:rsidP="0067595C">
      <w:pPr>
        <w:pStyle w:val="FootnoteText"/>
      </w:pPr>
      <w:r>
        <w:rPr>
          <w:rStyle w:val="FootnoteReference"/>
        </w:rPr>
        <w:footnoteRef/>
      </w:r>
      <w:r>
        <w:t xml:space="preserve"> </w:t>
      </w:r>
      <w:r>
        <w:rPr>
          <w:i/>
          <w:iCs/>
        </w:rPr>
        <w:t>See supra</w:t>
      </w:r>
      <w:r>
        <w:t xml:space="preserve"> </w:t>
      </w:r>
      <w:r w:rsidRPr="00856344">
        <w:t>section I.G.</w:t>
      </w:r>
      <w:r>
        <w:t xml:space="preserve">  </w:t>
      </w:r>
    </w:p>
  </w:footnote>
  <w:footnote w:id="123">
    <w:p w14:paraId="730B8AD0" w14:textId="77777777" w:rsidR="0067595C" w:rsidRPr="00C95B03" w:rsidRDefault="0067595C" w:rsidP="00887261">
      <w:pPr>
        <w:pStyle w:val="FootnoteText"/>
        <w:widowControl/>
      </w:pPr>
      <w:r>
        <w:rPr>
          <w:rStyle w:val="FootnoteReference"/>
        </w:rPr>
        <w:footnoteRef/>
      </w:r>
      <w:r>
        <w:t xml:space="preserve"> </w:t>
      </w:r>
      <w:r>
        <w:rPr>
          <w:i/>
          <w:iCs/>
        </w:rPr>
        <w:t>See</w:t>
      </w:r>
      <w:r>
        <w:t xml:space="preserve"> </w:t>
      </w:r>
      <w:r w:rsidRPr="00167414">
        <w:rPr>
          <w:i/>
          <w:iCs/>
        </w:rPr>
        <w:t xml:space="preserve">A.M. v. </w:t>
      </w:r>
      <w:r>
        <w:rPr>
          <w:i/>
          <w:iCs/>
        </w:rPr>
        <w:t>U.S.</w:t>
      </w:r>
      <w:r w:rsidRPr="005B46D5">
        <w:t>, No. 2022-2235, 2025 WL 323778, at *1 (Fed. Cir. Jan. 29, 2025)</w:t>
      </w:r>
      <w:r>
        <w:t xml:space="preserve"> (quoting </w:t>
      </w:r>
      <w:r w:rsidRPr="005F46EB">
        <w:rPr>
          <w:i/>
          <w:iCs/>
        </w:rPr>
        <w:t>Chapman L. Firm Co. v. Greenleaf Constr. Co.</w:t>
      </w:r>
      <w:r w:rsidRPr="00167414">
        <w:t xml:space="preserve">, 490 F.3d 934, 939 </w:t>
      </w:r>
      <w:r w:rsidR="00887261">
        <w:t xml:space="preserve">               </w:t>
      </w:r>
      <w:r w:rsidRPr="00167414">
        <w:t>(Fed. Cir. 2007)</w:t>
      </w:r>
      <w:r>
        <w:t xml:space="preserve"> (“</w:t>
      </w:r>
      <w:r w:rsidRPr="00E97438">
        <w:t xml:space="preserve">A case should generally be dismissed as moot  </w:t>
      </w:r>
      <w:r>
        <w:t>‘</w:t>
      </w:r>
      <w:r w:rsidRPr="00E97438">
        <w:t>[w]hen, during the course of litigation, it develops that the relief sought has been granted or that the questions originally in controversy between the parties are no longer at issue.</w:t>
      </w:r>
      <w:r>
        <w:t xml:space="preserve">’”);  </w:t>
      </w:r>
      <w:r w:rsidRPr="00167414">
        <w:rPr>
          <w:i/>
          <w:iCs/>
        </w:rPr>
        <w:t>S.C. Coastal Conservation League v. U.S. Army Corps of Eng’rs</w:t>
      </w:r>
      <w:r w:rsidRPr="004B4FF6">
        <w:t xml:space="preserve">, 789 F.3d 475, 482 </w:t>
      </w:r>
      <w:r w:rsidR="00887261">
        <w:t xml:space="preserve">                      </w:t>
      </w:r>
      <w:r w:rsidRPr="004B4FF6">
        <w:t>(4th Cir. 2015)</w:t>
      </w:r>
      <w:r>
        <w:t xml:space="preserve"> (“A case can become moot due either to a change in the facts or a change in the law.”);</w:t>
      </w:r>
      <w:r w:rsidRPr="007A6792">
        <w:rPr>
          <w:rFonts w:ascii="Source Sans Pro" w:eastAsia="Times New Roman" w:hAnsi="Source Sans Pro"/>
          <w:color w:val="000000"/>
          <w:sz w:val="24"/>
          <w:szCs w:val="24"/>
        </w:rPr>
        <w:t xml:space="preserve"> </w:t>
      </w:r>
      <w:r w:rsidRPr="00E27B64">
        <w:rPr>
          <w:i/>
          <w:iCs/>
        </w:rPr>
        <w:t>Williams v. Ozmint</w:t>
      </w:r>
      <w:r w:rsidRPr="009C0CC0">
        <w:t xml:space="preserve">, 716 F.3d 801, 809 (4th Cir. </w:t>
      </w:r>
      <w:r w:rsidRPr="007A6792">
        <w:t>2013)</w:t>
      </w:r>
      <w:r>
        <w:t xml:space="preserve"> (“</w:t>
      </w:r>
      <w:r w:rsidRPr="00341DA2">
        <w:t>A change in factual circumstances can moot a case on appeal, such as when the plaintiff receives the relief sought in his or her claim</w:t>
      </w:r>
      <w:r>
        <w:t xml:space="preserve"> . . .”); </w:t>
      </w:r>
      <w:r w:rsidRPr="00E27B64">
        <w:rPr>
          <w:i/>
          <w:iCs/>
        </w:rPr>
        <w:t>Hall &amp; Assocs. v. U.S. Env’t Prot. Agency</w:t>
      </w:r>
      <w:r w:rsidRPr="00BD0D19">
        <w:t xml:space="preserve">, </w:t>
      </w:r>
      <w:r w:rsidR="00887261">
        <w:t xml:space="preserve">                            </w:t>
      </w:r>
      <w:r w:rsidRPr="00BD0D19">
        <w:t>No. CV 18-1749 (RDM), 2021 WL 1226668, at *8 (D.D.C. Mar. 31, 2021)</w:t>
      </w:r>
      <w:r>
        <w:t xml:space="preserve"> (citing </w:t>
      </w:r>
      <w:r w:rsidRPr="00E27B64">
        <w:rPr>
          <w:i/>
          <w:iCs/>
        </w:rPr>
        <w:t>Lewis v. Cont’</w:t>
      </w:r>
      <w:r w:rsidRPr="00F70FDA">
        <w:rPr>
          <w:i/>
          <w:iCs/>
        </w:rPr>
        <w:t>l Bank Corp.</w:t>
      </w:r>
      <w:r w:rsidRPr="00F70FDA">
        <w:t>, 494 U.S. 472, 477–478 (1990)</w:t>
      </w:r>
      <w:r>
        <w:t xml:space="preserve"> (“</w:t>
      </w:r>
      <w:r w:rsidRPr="005520DF">
        <w:t>In the ordinary course, when a party receives the relief he seeks during the pendency of a litigation, the matter becomes moot and subject to dismissal.</w:t>
      </w:r>
      <w:r>
        <w:t>”).</w:t>
      </w:r>
    </w:p>
  </w:footnote>
  <w:footnote w:id="124">
    <w:p w14:paraId="1CD93710" w14:textId="77777777" w:rsidR="0067595C" w:rsidRDefault="0067595C" w:rsidP="0067595C">
      <w:pPr>
        <w:pStyle w:val="FootnoteText"/>
      </w:pPr>
      <w:r>
        <w:rPr>
          <w:rStyle w:val="FootnoteReference"/>
        </w:rPr>
        <w:footnoteRef/>
      </w:r>
      <w:r>
        <w:t xml:space="preserve"> Venture Global Rehearing Request at 35-37 (citing Authorization Order, </w:t>
      </w:r>
      <w:r w:rsidR="00887261">
        <w:t xml:space="preserve">                    </w:t>
      </w:r>
      <w:r>
        <w:t xml:space="preserve">187 FERC ¶ 61,199 at P 193 and Rehearing Order, </w:t>
      </w:r>
      <w:r w:rsidRPr="00004D2F">
        <w:t>189 FERC ¶ 61,148</w:t>
      </w:r>
      <w:r>
        <w:t xml:space="preserve"> at P 172); </w:t>
      </w:r>
      <w:r>
        <w:rPr>
          <w:i/>
          <w:iCs/>
        </w:rPr>
        <w:t>see also id.</w:t>
      </w:r>
      <w:r>
        <w:t xml:space="preserve"> at 42-43 (arguing that </w:t>
      </w:r>
      <w:r w:rsidRPr="00D8480C">
        <w:t xml:space="preserve">the Commission failed to explain why </w:t>
      </w:r>
      <w:r w:rsidRPr="00D8480C">
        <w:rPr>
          <w:i/>
          <w:iCs/>
        </w:rPr>
        <w:t>Healthy Gulf</w:t>
      </w:r>
      <w:r w:rsidRPr="00D8480C">
        <w:t xml:space="preserve"> required a supplemental EIS</w:t>
      </w:r>
      <w:r>
        <w:t xml:space="preserve">).  </w:t>
      </w:r>
    </w:p>
  </w:footnote>
  <w:footnote w:id="125">
    <w:p w14:paraId="5422310F" w14:textId="77777777" w:rsidR="0067595C" w:rsidRDefault="0067595C" w:rsidP="0067595C">
      <w:pPr>
        <w:pStyle w:val="FootnoteText"/>
      </w:pPr>
      <w:r>
        <w:rPr>
          <w:rStyle w:val="FootnoteReference"/>
        </w:rPr>
        <w:footnoteRef/>
      </w:r>
      <w:r>
        <w:t xml:space="preserve"> </w:t>
      </w:r>
      <w:r>
        <w:rPr>
          <w:i/>
          <w:iCs/>
        </w:rPr>
        <w:t>Id.</w:t>
      </w:r>
      <w:r>
        <w:t xml:space="preserve"> at 41 (citing </w:t>
      </w:r>
      <w:r w:rsidRPr="00B72975">
        <w:rPr>
          <w:i/>
          <w:iCs/>
        </w:rPr>
        <w:t xml:space="preserve">Healthy Gulf, </w:t>
      </w:r>
      <w:r w:rsidRPr="00B72975">
        <w:t>107 F.4th 1044</w:t>
      </w:r>
      <w:r>
        <w:t>).</w:t>
      </w:r>
    </w:p>
  </w:footnote>
  <w:footnote w:id="126">
    <w:p w14:paraId="3EC0FAE5" w14:textId="77777777" w:rsidR="0067595C" w:rsidRDefault="0067595C" w:rsidP="0067595C">
      <w:pPr>
        <w:pStyle w:val="FootnoteText"/>
      </w:pPr>
      <w:r>
        <w:rPr>
          <w:rStyle w:val="FootnoteReference"/>
        </w:rPr>
        <w:footnoteRef/>
      </w:r>
      <w:r>
        <w:t xml:space="preserve"> </w:t>
      </w:r>
      <w:r>
        <w:rPr>
          <w:i/>
          <w:iCs/>
        </w:rPr>
        <w:t>Id.</w:t>
      </w:r>
      <w:r>
        <w:t xml:space="preserve"> (explaining that the decision did not affect the environment in a new way not already considered by the Commission nor did it paint a seriously different picture of the environmental landscape).  </w:t>
      </w:r>
    </w:p>
  </w:footnote>
  <w:footnote w:id="127">
    <w:p w14:paraId="0C65F2FE" w14:textId="77777777" w:rsidR="0067595C" w:rsidRDefault="0067595C" w:rsidP="0067595C">
      <w:pPr>
        <w:pStyle w:val="FootnoteText"/>
      </w:pPr>
      <w:r>
        <w:rPr>
          <w:rStyle w:val="FootnoteReference"/>
        </w:rPr>
        <w:footnoteRef/>
      </w:r>
      <w:r>
        <w:t xml:space="preserve"> </w:t>
      </w:r>
      <w:r>
        <w:rPr>
          <w:i/>
          <w:iCs/>
        </w:rPr>
        <w:t>Id.</w:t>
      </w:r>
      <w:r>
        <w:t xml:space="preserve"> at 42 (citing </w:t>
      </w:r>
      <w:r w:rsidRPr="008D5C40">
        <w:rPr>
          <w:i/>
          <w:iCs/>
        </w:rPr>
        <w:t>City of Port Isabel</w:t>
      </w:r>
      <w:r w:rsidRPr="008D5C40">
        <w:t>, 111 F.4th at 1205-06</w:t>
      </w:r>
      <w:r>
        <w:t xml:space="preserve">, 1210); </w:t>
      </w:r>
      <w:r>
        <w:rPr>
          <w:i/>
          <w:iCs/>
        </w:rPr>
        <w:t>see also id.</w:t>
      </w:r>
      <w:r>
        <w:t xml:space="preserve"> </w:t>
      </w:r>
      <w:r w:rsidR="00887261">
        <w:t xml:space="preserve">          </w:t>
      </w:r>
      <w:r>
        <w:t xml:space="preserve">at </w:t>
      </w:r>
      <w:r w:rsidRPr="00252911">
        <w:t xml:space="preserve">40 (citing </w:t>
      </w:r>
      <w:r w:rsidRPr="00252911">
        <w:rPr>
          <w:i/>
          <w:iCs/>
        </w:rPr>
        <w:t>Marsh</w:t>
      </w:r>
      <w:r w:rsidRPr="00252911">
        <w:t xml:space="preserve">, 490 U.S.at 373-74; </w:t>
      </w:r>
      <w:r w:rsidRPr="00252911">
        <w:rPr>
          <w:i/>
          <w:iCs/>
        </w:rPr>
        <w:t>Stand Up for Cal.</w:t>
      </w:r>
      <w:r>
        <w:rPr>
          <w:i/>
          <w:iCs/>
        </w:rPr>
        <w:t>!</w:t>
      </w:r>
      <w:r w:rsidRPr="00252911">
        <w:rPr>
          <w:i/>
          <w:iCs/>
        </w:rPr>
        <w:t xml:space="preserve"> v. Dep’t of the Interior</w:t>
      </w:r>
      <w:r w:rsidRPr="00252911">
        <w:t xml:space="preserve">, </w:t>
      </w:r>
      <w:r w:rsidR="00887261">
        <w:t xml:space="preserve">            </w:t>
      </w:r>
      <w:r w:rsidRPr="00252911">
        <w:t>994 F.3d 616, 629 (D.C. Cir. 2021)</w:t>
      </w:r>
      <w:r>
        <w:t xml:space="preserve"> (</w:t>
      </w:r>
      <w:r w:rsidRPr="005F46EB">
        <w:rPr>
          <w:i/>
          <w:iCs/>
        </w:rPr>
        <w:t>Stand Up for Cal.!</w:t>
      </w:r>
      <w:r>
        <w:t>)</w:t>
      </w:r>
      <w:r w:rsidRPr="00252911">
        <w:t xml:space="preserve">; and </w:t>
      </w:r>
      <w:r w:rsidRPr="00252911">
        <w:rPr>
          <w:i/>
          <w:iCs/>
        </w:rPr>
        <w:t xml:space="preserve">Price </w:t>
      </w:r>
      <w:r>
        <w:rPr>
          <w:i/>
          <w:iCs/>
        </w:rPr>
        <w:t>Rd.</w:t>
      </w:r>
      <w:r w:rsidRPr="00252911">
        <w:rPr>
          <w:i/>
          <w:iCs/>
        </w:rPr>
        <w:t xml:space="preserve"> Neighborhood Ass’n. Inc. v. U.S. Dep’t of Transp.</w:t>
      </w:r>
      <w:r w:rsidRPr="00252911">
        <w:t>, 113 F.3d 1505, 1510 (9th Cir. 1997))</w:t>
      </w:r>
      <w:r>
        <w:t xml:space="preserve"> (asserting that </w:t>
      </w:r>
      <w:r w:rsidRPr="00C1781A">
        <w:t>there were no substantial changes to the proposed action or significant new evidence or circumstances bearing on the proposed action that would provide a seriously different picture requiring supplemental NEPA</w:t>
      </w:r>
      <w:r>
        <w:t xml:space="preserve">).  </w:t>
      </w:r>
      <w:r w:rsidRPr="008D5C40">
        <w:t xml:space="preserve">  </w:t>
      </w:r>
    </w:p>
  </w:footnote>
  <w:footnote w:id="128">
    <w:p w14:paraId="3E27BEE8" w14:textId="77777777" w:rsidR="0067595C" w:rsidRPr="005E6BDA" w:rsidRDefault="0067595C" w:rsidP="0038746F">
      <w:pPr>
        <w:pStyle w:val="FootnoteText"/>
        <w:widowControl/>
      </w:pPr>
      <w:r>
        <w:rPr>
          <w:rStyle w:val="FootnoteReference"/>
        </w:rPr>
        <w:footnoteRef/>
      </w:r>
      <w:r>
        <w:t xml:space="preserve"> </w:t>
      </w:r>
      <w:r>
        <w:rPr>
          <w:i/>
          <w:iCs/>
        </w:rPr>
        <w:t>Id.</w:t>
      </w:r>
      <w:r>
        <w:t xml:space="preserve"> at 25-32, 34-35 ((citing final EIS at 4-337 through 4-355, 4-355); </w:t>
      </w:r>
      <w:r>
        <w:rPr>
          <w:i/>
          <w:iCs/>
        </w:rPr>
        <w:t>see also</w:t>
      </w:r>
      <w:r>
        <w:t xml:space="preserve"> </w:t>
      </w:r>
      <w:r>
        <w:rPr>
          <w:i/>
          <w:iCs/>
        </w:rPr>
        <w:t>id.</w:t>
      </w:r>
      <w:r>
        <w:t xml:space="preserve"> at 27 (citing EPA PSD Guidance</w:t>
      </w:r>
      <w:r w:rsidRPr="00070097">
        <w:t>)</w:t>
      </w:r>
      <w:r>
        <w:t xml:space="preserve">; </w:t>
      </w:r>
      <w:r>
        <w:rPr>
          <w:i/>
          <w:iCs/>
        </w:rPr>
        <w:t>see also id.</w:t>
      </w:r>
      <w:r>
        <w:t xml:space="preserve"> 27-30 (citing EPA SIL Guidance</w:t>
      </w:r>
      <w:r w:rsidRPr="00D853EF">
        <w:t xml:space="preserve">; </w:t>
      </w:r>
      <w:r>
        <w:t xml:space="preserve">EPA SIL Memo; and </w:t>
      </w:r>
      <w:r w:rsidRPr="002B09FC">
        <w:t>40 C.F.R. p</w:t>
      </w:r>
      <w:r>
        <w:t>t.</w:t>
      </w:r>
      <w:r w:rsidRPr="002B09FC">
        <w:t xml:space="preserve"> 51, </w:t>
      </w:r>
      <w:r>
        <w:t>app.</w:t>
      </w:r>
      <w:r w:rsidRPr="002B09FC">
        <w:t xml:space="preserve"> W – Guideline on Air Quality Models </w:t>
      </w:r>
      <w:r>
        <w:t xml:space="preserve">(outlining the CAA PSD modeling three step process to ascertain adverse cumulative air impacts); </w:t>
      </w:r>
      <w:r>
        <w:rPr>
          <w:i/>
          <w:iCs/>
        </w:rPr>
        <w:t>see id</w:t>
      </w:r>
      <w:r>
        <w:t>. at 31-32 (citing</w:t>
      </w:r>
      <w:r w:rsidRPr="0083390C">
        <w:rPr>
          <w:color w:val="000000"/>
          <w:sz w:val="20"/>
        </w:rPr>
        <w:t xml:space="preserve"> </w:t>
      </w:r>
      <w:r>
        <w:t xml:space="preserve">EPA SIL Guidance (asserting that </w:t>
      </w:r>
      <w:r w:rsidRPr="00DB2D7D">
        <w:t>a modeled contribution that is less than a SIL is considered to have a negligible</w:t>
      </w:r>
      <w:r>
        <w:t>, non-contributory</w:t>
      </w:r>
      <w:r w:rsidRPr="00DB2D7D">
        <w:t xml:space="preserve"> impact on air quality</w:t>
      </w:r>
      <w:r>
        <w:t xml:space="preserve"> and that regulators have discretion to conclude that a project does not cause or contribute to NAAQS exceedances); </w:t>
      </w:r>
      <w:r>
        <w:rPr>
          <w:i/>
          <w:iCs/>
        </w:rPr>
        <w:t>id.</w:t>
      </w:r>
      <w:r>
        <w:t xml:space="preserve"> at 42-43 (arguing that all that was required by the Commission was </w:t>
      </w:r>
      <w:r w:rsidRPr="00151AEB">
        <w:t>to provide a more complete explanation of the reasoned basis for its existing conclusions regarding cumulative air impacts</w:t>
      </w:r>
      <w:r>
        <w:t xml:space="preserve">).  </w:t>
      </w:r>
    </w:p>
  </w:footnote>
  <w:footnote w:id="129">
    <w:p w14:paraId="15D3B2CF" w14:textId="77777777" w:rsidR="0067595C" w:rsidRDefault="0067595C" w:rsidP="0067595C">
      <w:pPr>
        <w:pStyle w:val="FootnoteText"/>
      </w:pPr>
      <w:r>
        <w:rPr>
          <w:rStyle w:val="FootnoteReference"/>
        </w:rPr>
        <w:footnoteRef/>
      </w:r>
      <w:r>
        <w:t xml:space="preserve"> </w:t>
      </w:r>
      <w:r>
        <w:rPr>
          <w:i/>
          <w:iCs/>
        </w:rPr>
        <w:t>Id.</w:t>
      </w:r>
      <w:r>
        <w:t xml:space="preserve"> at 32-33.  </w:t>
      </w:r>
    </w:p>
  </w:footnote>
  <w:footnote w:id="130">
    <w:p w14:paraId="757F7195" w14:textId="77777777" w:rsidR="0067595C" w:rsidRDefault="0067595C" w:rsidP="0067595C">
      <w:pPr>
        <w:pStyle w:val="FootnoteText"/>
      </w:pPr>
      <w:r>
        <w:rPr>
          <w:rStyle w:val="FootnoteReference"/>
        </w:rPr>
        <w:footnoteRef/>
      </w:r>
      <w:r>
        <w:t xml:space="preserve"> </w:t>
      </w:r>
      <w:r>
        <w:rPr>
          <w:i/>
          <w:iCs/>
        </w:rPr>
        <w:t>Id.</w:t>
      </w:r>
      <w:r>
        <w:t xml:space="preserve"> at 33-34 (explaining that Venture Global is required to comply with the Traffic, Noxious Weed, and Fugitive Dust Plan, the Ambient Air Quality Mitigation and Monitoring Plan, and other measures to minimize cumulative impacts such as the </w:t>
      </w:r>
      <w:r w:rsidRPr="00914F9F">
        <w:t>use of equipment that meets regulatory emission standards, minimizing idling time, proper operation and maintenance, speed limits, applying water to dusty areas, installing pads or washers at site entrances, covering open haul trucks, training construction personnel on environmental compliance, employing an environmental inspector</w:t>
      </w:r>
      <w:r>
        <w:t>).</w:t>
      </w:r>
      <w:r w:rsidRPr="00914F9F">
        <w:t xml:space="preserve"> </w:t>
      </w:r>
      <w:r>
        <w:t xml:space="preserve"> </w:t>
      </w:r>
    </w:p>
  </w:footnote>
  <w:footnote w:id="131">
    <w:p w14:paraId="35355EC9" w14:textId="77777777" w:rsidR="0067595C" w:rsidRDefault="0067595C" w:rsidP="0067595C">
      <w:pPr>
        <w:pStyle w:val="FootnoteText"/>
      </w:pPr>
      <w:r>
        <w:rPr>
          <w:rStyle w:val="FootnoteReference"/>
        </w:rPr>
        <w:footnoteRef/>
      </w:r>
      <w:r>
        <w:t xml:space="preserve"> </w:t>
      </w:r>
      <w:r>
        <w:rPr>
          <w:i/>
          <w:iCs/>
        </w:rPr>
        <w:t>Id.</w:t>
      </w:r>
      <w:r>
        <w:t xml:space="preserve"> at 37.  </w:t>
      </w:r>
    </w:p>
  </w:footnote>
  <w:footnote w:id="132">
    <w:p w14:paraId="5B821005" w14:textId="77777777" w:rsidR="0067595C" w:rsidRPr="00E36296" w:rsidRDefault="0067595C" w:rsidP="0067595C">
      <w:pPr>
        <w:pStyle w:val="FootnoteText"/>
      </w:pPr>
      <w:r>
        <w:rPr>
          <w:rStyle w:val="FootnoteReference"/>
        </w:rPr>
        <w:footnoteRef/>
      </w:r>
      <w:r>
        <w:t xml:space="preserve"> </w:t>
      </w:r>
      <w:r>
        <w:rPr>
          <w:i/>
          <w:iCs/>
        </w:rPr>
        <w:t>See supra</w:t>
      </w:r>
      <w:r>
        <w:t xml:space="preserve"> </w:t>
      </w:r>
      <w:r w:rsidRPr="00E05889">
        <w:t xml:space="preserve">note </w:t>
      </w:r>
      <w:r w:rsidR="004A7266">
        <w:t>122</w:t>
      </w:r>
      <w:r>
        <w:t xml:space="preserve">; </w:t>
      </w:r>
      <w:r>
        <w:rPr>
          <w:i/>
          <w:iCs/>
        </w:rPr>
        <w:t>see also</w:t>
      </w:r>
      <w:r>
        <w:t xml:space="preserve"> </w:t>
      </w:r>
      <w:r w:rsidRPr="005F2480">
        <w:rPr>
          <w:i/>
          <w:iCs/>
        </w:rPr>
        <w:t>Fund for Animals v. U.S. Bureau of Land Mgmt.</w:t>
      </w:r>
      <w:r w:rsidRPr="005F2480">
        <w:t>,</w:t>
      </w:r>
      <w:r>
        <w:t xml:space="preserve"> </w:t>
      </w:r>
      <w:r w:rsidRPr="005F2480">
        <w:t>357 F.Supp.2d 225, 230 (D.D.C.</w:t>
      </w:r>
      <w:r>
        <w:t xml:space="preserve"> </w:t>
      </w:r>
      <w:r w:rsidRPr="005F2480">
        <w:t>2004)</w:t>
      </w:r>
      <w:r>
        <w:t xml:space="preserve"> </w:t>
      </w:r>
      <w:r w:rsidRPr="005E00C7">
        <w:t>(holding that a NEPA claim is moot once the government completes the action complained of because “the Court cannot undo what has already been done”) (citing</w:t>
      </w:r>
      <w:r>
        <w:t xml:space="preserve"> </w:t>
      </w:r>
      <w:r w:rsidRPr="005F2480">
        <w:rPr>
          <w:i/>
          <w:iCs/>
        </w:rPr>
        <w:t>Fl. Wildlife Fed’n v. Goldschmidt</w:t>
      </w:r>
      <w:r w:rsidRPr="005F2480">
        <w:t>,</w:t>
      </w:r>
      <w:r>
        <w:t xml:space="preserve"> </w:t>
      </w:r>
      <w:r w:rsidRPr="005F2480">
        <w:t xml:space="preserve">611 F.2d 547, 548 </w:t>
      </w:r>
      <w:r w:rsidR="0038746F">
        <w:t xml:space="preserve">      </w:t>
      </w:r>
      <w:r w:rsidRPr="005F2480">
        <w:t>(5th Cir.</w:t>
      </w:r>
      <w:r w:rsidR="0093340E">
        <w:t xml:space="preserve"> </w:t>
      </w:r>
      <w:r w:rsidRPr="005F2480">
        <w:t>1980)</w:t>
      </w:r>
      <w:r w:rsidRPr="005E00C7">
        <w:t>).</w:t>
      </w:r>
    </w:p>
  </w:footnote>
  <w:footnote w:id="133">
    <w:p w14:paraId="27AD8934" w14:textId="77777777" w:rsidR="00BC2694" w:rsidRPr="00726AF2" w:rsidRDefault="00BC2694" w:rsidP="00BC2694">
      <w:pPr>
        <w:pStyle w:val="FootnoteText"/>
      </w:pPr>
      <w:r>
        <w:rPr>
          <w:rStyle w:val="FootnoteReference"/>
        </w:rPr>
        <w:footnoteRef/>
      </w:r>
      <w:r>
        <w:t xml:space="preserve"> </w:t>
      </w:r>
      <w:r>
        <w:rPr>
          <w:i/>
          <w:iCs/>
        </w:rPr>
        <w:t>See supra</w:t>
      </w:r>
      <w:r>
        <w:t xml:space="preserve"> section I.B.1.  </w:t>
      </w:r>
    </w:p>
  </w:footnote>
  <w:footnote w:id="134">
    <w:p w14:paraId="47754D42" w14:textId="77777777" w:rsidR="00BC2694" w:rsidRDefault="00BC2694" w:rsidP="00BC2694">
      <w:pPr>
        <w:pStyle w:val="FootnoteText"/>
        <w:rPr>
          <w:szCs w:val="26"/>
        </w:rPr>
      </w:pPr>
      <w:r>
        <w:rPr>
          <w:rStyle w:val="FootnoteReference"/>
          <w:bCs/>
          <w:szCs w:val="26"/>
        </w:rPr>
        <w:footnoteRef/>
      </w:r>
      <w:r>
        <w:rPr>
          <w:bCs/>
          <w:szCs w:val="26"/>
        </w:rPr>
        <w:t xml:space="preserve"> </w:t>
      </w:r>
      <w:r>
        <w:rPr>
          <w:szCs w:val="26"/>
        </w:rPr>
        <w:t>EPA Interim 1-hour NO</w:t>
      </w:r>
      <w:r>
        <w:rPr>
          <w:szCs w:val="26"/>
          <w:vertAlign w:val="subscript"/>
        </w:rPr>
        <w:t>2</w:t>
      </w:r>
      <w:r>
        <w:rPr>
          <w:szCs w:val="26"/>
        </w:rPr>
        <w:t xml:space="preserve"> SIL Guidance.</w:t>
      </w:r>
    </w:p>
  </w:footnote>
  <w:footnote w:id="135">
    <w:p w14:paraId="7A21ADBF" w14:textId="77777777" w:rsidR="00BC2694" w:rsidRDefault="00BC2694" w:rsidP="00BC2694">
      <w:pPr>
        <w:pStyle w:val="FootnoteText"/>
        <w:rPr>
          <w:i/>
          <w:iCs/>
          <w:szCs w:val="26"/>
        </w:rPr>
      </w:pPr>
      <w:r>
        <w:rPr>
          <w:rStyle w:val="FootnoteReference"/>
          <w:szCs w:val="26"/>
        </w:rPr>
        <w:footnoteRef/>
      </w:r>
      <w:r>
        <w:rPr>
          <w:szCs w:val="26"/>
        </w:rPr>
        <w:t xml:space="preserve"> </w:t>
      </w:r>
      <w:r>
        <w:rPr>
          <w:i/>
          <w:iCs/>
          <w:szCs w:val="26"/>
        </w:rPr>
        <w:t>Sierra Club v. EPA</w:t>
      </w:r>
      <w:r>
        <w:rPr>
          <w:szCs w:val="26"/>
        </w:rPr>
        <w:t xml:space="preserve">, 705 F.3d 458, 461 (D.C. Cir. 2013) (citing EPA guidance explaining that </w:t>
      </w:r>
      <w:r w:rsidRPr="005D6F19">
        <w:rPr>
          <w:szCs w:val="26"/>
        </w:rPr>
        <w:t xml:space="preserve">EPA defines </w:t>
      </w:r>
      <w:r>
        <w:rPr>
          <w:szCs w:val="26"/>
        </w:rPr>
        <w:t xml:space="preserve">the </w:t>
      </w:r>
      <w:r w:rsidRPr="005D6F19">
        <w:rPr>
          <w:szCs w:val="26"/>
        </w:rPr>
        <w:t>SIL for PM</w:t>
      </w:r>
      <w:r w:rsidRPr="005D6F19">
        <w:rPr>
          <w:szCs w:val="26"/>
          <w:vertAlign w:val="subscript"/>
        </w:rPr>
        <w:t>2.5</w:t>
      </w:r>
      <w:r>
        <w:rPr>
          <w:szCs w:val="26"/>
          <w:vertAlign w:val="subscript"/>
        </w:rPr>
        <w:t xml:space="preserve"> </w:t>
      </w:r>
      <w:r w:rsidRPr="005D6F19">
        <w:rPr>
          <w:szCs w:val="26"/>
        </w:rPr>
        <w:t>as “numeric values derived by EPA that may be used to evaluate the impact a proposed major source or modification may have on the NAAQS or PSD increment</w:t>
      </w:r>
      <w:r>
        <w:rPr>
          <w:szCs w:val="26"/>
        </w:rPr>
        <w:t xml:space="preserve">”).  </w:t>
      </w:r>
      <w:r>
        <w:rPr>
          <w:i/>
          <w:iCs/>
          <w:szCs w:val="26"/>
        </w:rPr>
        <w:t xml:space="preserve">See also </w:t>
      </w:r>
      <w:r w:rsidR="00633CFF">
        <w:rPr>
          <w:szCs w:val="26"/>
        </w:rPr>
        <w:t xml:space="preserve">EPA Ozone and PM SILs Guidance </w:t>
      </w:r>
      <w:r>
        <w:rPr>
          <w:szCs w:val="26"/>
        </w:rPr>
        <w:t>at 11 (noting that “changes in air quality within this range are not meaningful, and, thus, do not contribute to a violation of the NAAQS”).</w:t>
      </w:r>
    </w:p>
  </w:footnote>
  <w:footnote w:id="136">
    <w:p w14:paraId="7913713E" w14:textId="77777777" w:rsidR="00BC2694" w:rsidRDefault="00BC2694" w:rsidP="00BC2694">
      <w:pPr>
        <w:pStyle w:val="FootnoteText"/>
      </w:pPr>
      <w:r>
        <w:rPr>
          <w:rStyle w:val="FootnoteReference"/>
        </w:rPr>
        <w:footnoteRef/>
      </w:r>
      <w:r>
        <w:t xml:space="preserve"> Final EIS at app. K; </w:t>
      </w:r>
      <w:r>
        <w:rPr>
          <w:i/>
          <w:iCs/>
        </w:rPr>
        <w:t>see</w:t>
      </w:r>
      <w:r>
        <w:t xml:space="preserve"> </w:t>
      </w:r>
      <w:r>
        <w:rPr>
          <w:i/>
          <w:iCs/>
        </w:rPr>
        <w:t>supra</w:t>
      </w:r>
      <w:r>
        <w:t xml:space="preserve"> section I.B.2.   </w:t>
      </w:r>
    </w:p>
  </w:footnote>
  <w:footnote w:id="137">
    <w:p w14:paraId="79EC5746" w14:textId="77777777" w:rsidR="00BC2694" w:rsidRDefault="00BC2694" w:rsidP="00BC2694">
      <w:pPr>
        <w:pStyle w:val="FootnoteText"/>
      </w:pPr>
      <w:r>
        <w:rPr>
          <w:rStyle w:val="FootnoteReference"/>
        </w:rPr>
        <w:footnoteRef/>
      </w:r>
      <w:r>
        <w:t xml:space="preserve"> </w:t>
      </w:r>
      <w:r w:rsidRPr="006A2013">
        <w:rPr>
          <w:i/>
          <w:iCs/>
        </w:rPr>
        <w:t>Healthy Gulf</w:t>
      </w:r>
      <w:r w:rsidRPr="00C15146">
        <w:t>, 107 F.4</w:t>
      </w:r>
      <w:r w:rsidRPr="003752D4">
        <w:t>th</w:t>
      </w:r>
      <w:r>
        <w:t xml:space="preserve"> </w:t>
      </w:r>
      <w:r w:rsidRPr="00AE5A65">
        <w:t>1033, 1044</w:t>
      </w:r>
      <w:r>
        <w:t>.</w:t>
      </w:r>
    </w:p>
  </w:footnote>
  <w:footnote w:id="138">
    <w:p w14:paraId="7ADD0D17" w14:textId="77777777" w:rsidR="0067595C" w:rsidRDefault="0067595C" w:rsidP="0067595C">
      <w:pPr>
        <w:pStyle w:val="FootnoteText"/>
      </w:pPr>
      <w:r>
        <w:rPr>
          <w:rStyle w:val="FootnoteReference"/>
        </w:rPr>
        <w:footnoteRef/>
      </w:r>
      <w:r>
        <w:t xml:space="preserve"> </w:t>
      </w:r>
      <w:r w:rsidRPr="002448EA">
        <w:rPr>
          <w:i/>
          <w:iCs/>
        </w:rPr>
        <w:t>Marsh</w:t>
      </w:r>
      <w:r w:rsidRPr="002448EA">
        <w:t xml:space="preserve">, 490 U.S. </w:t>
      </w:r>
      <w:r>
        <w:t>at</w:t>
      </w:r>
      <w:r w:rsidRPr="002448EA">
        <w:t xml:space="preserve"> 373</w:t>
      </w:r>
      <w:r>
        <w:t xml:space="preserve">, </w:t>
      </w:r>
      <w:r w:rsidRPr="00D35B3F">
        <w:t>375-76</w:t>
      </w:r>
      <w:r w:rsidRPr="002448EA">
        <w:t xml:space="preserve">; </w:t>
      </w:r>
      <w:r w:rsidRPr="008E38E5">
        <w:rPr>
          <w:i/>
          <w:iCs/>
        </w:rPr>
        <w:t>Friends of the River</w:t>
      </w:r>
      <w:r w:rsidRPr="008E38E5">
        <w:t xml:space="preserve">, 720 F.2d </w:t>
      </w:r>
      <w:r>
        <w:t>at</w:t>
      </w:r>
      <w:r w:rsidRPr="008E38E5">
        <w:t xml:space="preserve"> 109</w:t>
      </w:r>
      <w:r>
        <w:t xml:space="preserve">-10; </w:t>
      </w:r>
      <w:r w:rsidRPr="009412F8">
        <w:rPr>
          <w:i/>
          <w:iCs/>
        </w:rPr>
        <w:t xml:space="preserve">see </w:t>
      </w:r>
      <w:r w:rsidRPr="00722366">
        <w:rPr>
          <w:i/>
          <w:iCs/>
        </w:rPr>
        <w:t xml:space="preserve">also </w:t>
      </w:r>
      <w:r w:rsidRPr="005F46EB">
        <w:rPr>
          <w:i/>
          <w:iCs/>
        </w:rPr>
        <w:t>Friends of Cap. Crescent Trail v. Fed. Transit Admin.</w:t>
      </w:r>
      <w:r w:rsidRPr="00722366">
        <w:t xml:space="preserve">, 877 F.3d 1051, 1059 </w:t>
      </w:r>
      <w:r w:rsidR="0038746F">
        <w:t xml:space="preserve">              </w:t>
      </w:r>
      <w:r w:rsidRPr="00722366">
        <w:t>(D.C. Cir. 2017)</w:t>
      </w:r>
      <w:r>
        <w:t xml:space="preserve"> (</w:t>
      </w:r>
      <w:r w:rsidRPr="005F46EB">
        <w:rPr>
          <w:i/>
          <w:iCs/>
        </w:rPr>
        <w:t>Friends of Cap. Crescent Trail</w:t>
      </w:r>
      <w:r>
        <w:t xml:space="preserve">) </w:t>
      </w:r>
      <w:r w:rsidRPr="009412F8">
        <w:t>(“If an agency</w:t>
      </w:r>
      <w:r>
        <w:t>’</w:t>
      </w:r>
      <w:r w:rsidRPr="009412F8">
        <w:t>s decision not to prepare a [supplemental EIS] turns on a factual dispute the resolution of which implicated substantial agency expertise, the court defers to the agency</w:t>
      </w:r>
      <w:r>
        <w:t>’</w:t>
      </w:r>
      <w:r w:rsidRPr="009412F8">
        <w:t>s judgment.”) (quoting</w:t>
      </w:r>
      <w:r>
        <w:rPr>
          <w:rStyle w:val="Hyperlink"/>
          <w:i/>
          <w:iCs/>
        </w:rPr>
        <w:t xml:space="preserve"> </w:t>
      </w:r>
      <w:r w:rsidRPr="009A2DD1">
        <w:rPr>
          <w:i/>
          <w:iCs/>
        </w:rPr>
        <w:t>Marsh</w:t>
      </w:r>
      <w:r w:rsidRPr="00D35B3F">
        <w:t>, 490 U.S. at 376</w:t>
      </w:r>
      <w:r w:rsidRPr="009412F8">
        <w:t>).</w:t>
      </w:r>
    </w:p>
  </w:footnote>
  <w:footnote w:id="139">
    <w:p w14:paraId="0D4C2485" w14:textId="77777777" w:rsidR="0067595C" w:rsidRDefault="0067595C" w:rsidP="0067595C">
      <w:pPr>
        <w:pStyle w:val="FootnoteText"/>
      </w:pPr>
      <w:r>
        <w:rPr>
          <w:rStyle w:val="FootnoteReference"/>
        </w:rPr>
        <w:footnoteRef/>
      </w:r>
      <w:r>
        <w:t xml:space="preserve"> </w:t>
      </w:r>
      <w:r>
        <w:rPr>
          <w:i/>
          <w:iCs/>
        </w:rPr>
        <w:t>Marsh</w:t>
      </w:r>
      <w:r>
        <w:t xml:space="preserve">, 490 U.S. at 374 (citing 42 U.S.C. § 4332(2)(C)). </w:t>
      </w:r>
    </w:p>
  </w:footnote>
  <w:footnote w:id="140">
    <w:p w14:paraId="3D21AADA" w14:textId="77777777" w:rsidR="0067595C" w:rsidRPr="00332E01" w:rsidRDefault="0067595C" w:rsidP="0067595C">
      <w:pPr>
        <w:pStyle w:val="FootnoteText"/>
      </w:pPr>
      <w:r>
        <w:rPr>
          <w:rStyle w:val="FootnoteReference"/>
        </w:rPr>
        <w:footnoteRef/>
      </w:r>
      <w:r>
        <w:t xml:space="preserve"> </w:t>
      </w:r>
      <w:r>
        <w:rPr>
          <w:i/>
          <w:iCs/>
        </w:rPr>
        <w:t>Id.</w:t>
      </w:r>
      <w:r>
        <w:t xml:space="preserve">; </w:t>
      </w:r>
      <w:r>
        <w:rPr>
          <w:i/>
          <w:iCs/>
        </w:rPr>
        <w:t>see also</w:t>
      </w:r>
      <w:r>
        <w:t xml:space="preserve"> </w:t>
      </w:r>
      <w:r w:rsidRPr="00D5055F">
        <w:rPr>
          <w:i/>
          <w:iCs/>
        </w:rPr>
        <w:t>Nat’l Parks Conservation Ass’n v. Jewell</w:t>
      </w:r>
      <w:r w:rsidRPr="00D5055F">
        <w:t>, 965 F. Supp. 2d 67,</w:t>
      </w:r>
      <w:r w:rsidR="0038746F">
        <w:t xml:space="preserve"> </w:t>
      </w:r>
      <w:r w:rsidRPr="00D5055F">
        <w:t>78 (D.D.C. 2013)</w:t>
      </w:r>
      <w:r>
        <w:t xml:space="preserve"> (quoting </w:t>
      </w:r>
      <w:r w:rsidRPr="000B232F">
        <w:rPr>
          <w:i/>
          <w:iCs/>
        </w:rPr>
        <w:t xml:space="preserve">Pub. Emps. for Envtl. </w:t>
      </w:r>
      <w:r>
        <w:rPr>
          <w:i/>
          <w:iCs/>
        </w:rPr>
        <w:t>Resp.</w:t>
      </w:r>
      <w:r w:rsidRPr="000B232F">
        <w:rPr>
          <w:i/>
          <w:iCs/>
        </w:rPr>
        <w:t xml:space="preserve"> v. U.S. Dep't of the Interior,</w:t>
      </w:r>
      <w:r>
        <w:t xml:space="preserve"> </w:t>
      </w:r>
      <w:r w:rsidR="0038746F">
        <w:t xml:space="preserve">               </w:t>
      </w:r>
      <w:r w:rsidRPr="000B232F">
        <w:t>832 F.Supp.2d 5, 29–30 (D.D.C.</w:t>
      </w:r>
      <w:r>
        <w:t xml:space="preserve"> </w:t>
      </w:r>
      <w:r w:rsidRPr="000B232F">
        <w:t>2011)</w:t>
      </w:r>
      <w:r>
        <w:t>) (</w:t>
      </w:r>
      <w:r w:rsidRPr="00332E01">
        <w:t>“[W]hether a change is substantial so as to warrant [a supplemental EIS] is determined not by the modification in the abstract, but rather by the significance of the environmental effects of the changes</w:t>
      </w:r>
      <w:r>
        <w:t>.”).</w:t>
      </w:r>
    </w:p>
  </w:footnote>
  <w:footnote w:id="141">
    <w:p w14:paraId="4FA4514D" w14:textId="77777777" w:rsidR="0067595C" w:rsidRDefault="0067595C" w:rsidP="0067595C">
      <w:pPr>
        <w:pStyle w:val="FootnoteText"/>
      </w:pPr>
      <w:r>
        <w:rPr>
          <w:rStyle w:val="FootnoteReference"/>
        </w:rPr>
        <w:footnoteRef/>
      </w:r>
      <w:r>
        <w:t xml:space="preserve"> Rehearing Order, </w:t>
      </w:r>
      <w:r w:rsidRPr="00004D2F">
        <w:t>189 FERC ¶ 61,148</w:t>
      </w:r>
      <w:r>
        <w:t xml:space="preserve"> at P 185.  </w:t>
      </w:r>
    </w:p>
  </w:footnote>
  <w:footnote w:id="142">
    <w:p w14:paraId="6DCFC439" w14:textId="77777777" w:rsidR="0067595C" w:rsidRPr="00110783" w:rsidRDefault="0067595C" w:rsidP="0067595C">
      <w:pPr>
        <w:pStyle w:val="FootnoteText"/>
      </w:pPr>
      <w:r>
        <w:rPr>
          <w:rStyle w:val="FootnoteReference"/>
        </w:rPr>
        <w:footnoteRef/>
      </w:r>
      <w:r>
        <w:t xml:space="preserve"> </w:t>
      </w:r>
      <w:r>
        <w:rPr>
          <w:i/>
          <w:iCs/>
        </w:rPr>
        <w:t>See supra</w:t>
      </w:r>
      <w:r>
        <w:t xml:space="preserve"> </w:t>
      </w:r>
      <w:r w:rsidRPr="009A21BD">
        <w:t>section I.E.</w:t>
      </w:r>
      <w:r>
        <w:t xml:space="preserve">  </w:t>
      </w:r>
    </w:p>
  </w:footnote>
  <w:footnote w:id="143">
    <w:p w14:paraId="56A7A2F6" w14:textId="77777777" w:rsidR="0067595C" w:rsidRDefault="0067595C" w:rsidP="0038746F">
      <w:pPr>
        <w:pStyle w:val="FootnoteText"/>
        <w:widowControl/>
      </w:pPr>
      <w:r>
        <w:rPr>
          <w:rStyle w:val="FootnoteReference"/>
        </w:rPr>
        <w:footnoteRef/>
      </w:r>
      <w:r>
        <w:t xml:space="preserve"> Rehearing Order, </w:t>
      </w:r>
      <w:r w:rsidRPr="00004D2F">
        <w:t>189 FERC ¶ 61,148</w:t>
      </w:r>
      <w:r>
        <w:t xml:space="preserve"> at P 185 (</w:t>
      </w:r>
      <w:r w:rsidRPr="00D90048">
        <w:t>“</w:t>
      </w:r>
      <w:r>
        <w:t>G</w:t>
      </w:r>
      <w:r w:rsidRPr="00D90048">
        <w:t xml:space="preserve">iven the D.C. Circuit’s specific directives to the Commission in </w:t>
      </w:r>
      <w:r w:rsidRPr="00D90048">
        <w:rPr>
          <w:i/>
          <w:iCs/>
        </w:rPr>
        <w:t xml:space="preserve">Healthy Gulf </w:t>
      </w:r>
      <w:r w:rsidRPr="00D90048">
        <w:t xml:space="preserve">and </w:t>
      </w:r>
      <w:r w:rsidRPr="00D90048">
        <w:rPr>
          <w:i/>
          <w:iCs/>
        </w:rPr>
        <w:t>City of Port Isabel</w:t>
      </w:r>
      <w:r w:rsidRPr="00D90048">
        <w:t>, we set aside the Authorization Order, in part, solely regarding the Commission’s analysis of NO</w:t>
      </w:r>
      <w:r w:rsidRPr="00D90048">
        <w:rPr>
          <w:vertAlign w:val="subscript"/>
        </w:rPr>
        <w:t>2</w:t>
      </w:r>
      <w:r w:rsidRPr="00D90048">
        <w:t xml:space="preserve"> and PM</w:t>
      </w:r>
      <w:r w:rsidRPr="00D90048">
        <w:rPr>
          <w:vertAlign w:val="subscript"/>
        </w:rPr>
        <w:t>2.5</w:t>
      </w:r>
      <w:r w:rsidRPr="00D90048">
        <w:t>, for the purpose of conducting additional environmental review</w:t>
      </w:r>
      <w:r>
        <w:t xml:space="preserve">.”); </w:t>
      </w:r>
      <w:r>
        <w:rPr>
          <w:i/>
          <w:iCs/>
        </w:rPr>
        <w:t>s</w:t>
      </w:r>
      <w:r w:rsidRPr="00DF0C66">
        <w:rPr>
          <w:i/>
          <w:iCs/>
        </w:rPr>
        <w:t xml:space="preserve">ee </w:t>
      </w:r>
      <w:r>
        <w:rPr>
          <w:i/>
          <w:iCs/>
        </w:rPr>
        <w:t xml:space="preserve">also </w:t>
      </w:r>
      <w:r w:rsidRPr="00DF0C66">
        <w:rPr>
          <w:i/>
          <w:iCs/>
        </w:rPr>
        <w:t>WildEarth Guardians v. Haaland</w:t>
      </w:r>
      <w:r w:rsidRPr="00DF0C66">
        <w:t>, No. CV 21-175 (RC), 2022 WL 1773480, at *7 (D.D.C. June 1, 2022) (mem. op.) (</w:t>
      </w:r>
      <w:r w:rsidRPr="00DF0C66">
        <w:rPr>
          <w:i/>
          <w:iCs/>
        </w:rPr>
        <w:t>Haaland</w:t>
      </w:r>
      <w:r w:rsidRPr="00DF0C66">
        <w:t xml:space="preserve">) (finding guidance provided by the court related to the Bureau of Land Management’s (BLM) environmental analysis in </w:t>
      </w:r>
      <w:r w:rsidRPr="00DF0C66">
        <w:rPr>
          <w:i/>
          <w:iCs/>
        </w:rPr>
        <w:t>WildEarth Guardians v. Zinke</w:t>
      </w:r>
      <w:r w:rsidRPr="00DF0C66">
        <w:t>, 368 F. Supp. 3d 41 (D.D.C. 2019) (</w:t>
      </w:r>
      <w:r w:rsidRPr="00DF0C66">
        <w:rPr>
          <w:i/>
          <w:iCs/>
        </w:rPr>
        <w:t>Zinke</w:t>
      </w:r>
      <w:r w:rsidRPr="00DF0C66">
        <w:t xml:space="preserve">) which utilized a similar methodology at issue in </w:t>
      </w:r>
      <w:r w:rsidRPr="00DF0C66">
        <w:rPr>
          <w:i/>
          <w:iCs/>
        </w:rPr>
        <w:t>Haaland</w:t>
      </w:r>
      <w:r w:rsidRPr="00DF0C66">
        <w:t xml:space="preserve"> to be a “more-than-sufficient reason for BLM to think that the purposes of NEPA will be furthered by re-conducting that [environmental] analysis”).</w:t>
      </w:r>
      <w:r>
        <w:t xml:space="preserve">  </w:t>
      </w:r>
      <w:r w:rsidRPr="0092046F">
        <w:t>The Commission has an independent obligation to engage in supplemental NEPA to remedy potential NEPA deficiencies as determined on a case-by-case basis.</w:t>
      </w:r>
      <w:r>
        <w:t xml:space="preserve">  </w:t>
      </w:r>
      <w:r>
        <w:rPr>
          <w:i/>
          <w:iCs/>
        </w:rPr>
        <w:t xml:space="preserve">See </w:t>
      </w:r>
      <w:r w:rsidRPr="007917F2">
        <w:rPr>
          <w:i/>
          <w:iCs/>
        </w:rPr>
        <w:t>Friends of Cap. Crescent Trail</w:t>
      </w:r>
      <w:r w:rsidRPr="007917F2">
        <w:t xml:space="preserve">, 255 F. Supp. 3d </w:t>
      </w:r>
      <w:r>
        <w:t>at</w:t>
      </w:r>
      <w:r w:rsidRPr="007917F2">
        <w:t xml:space="preserve"> 67 </w:t>
      </w:r>
      <w:r>
        <w:t xml:space="preserve">(citing </w:t>
      </w:r>
      <w:r w:rsidRPr="000F43DC">
        <w:rPr>
          <w:i/>
          <w:iCs/>
        </w:rPr>
        <w:t>Marsh</w:t>
      </w:r>
      <w:r w:rsidRPr="000F43DC">
        <w:t xml:space="preserve">, 490 U.S. </w:t>
      </w:r>
      <w:r>
        <w:t xml:space="preserve">at 374) (“an agency </w:t>
      </w:r>
      <w:r w:rsidRPr="00D80922">
        <w:t>is obligated to prepare a</w:t>
      </w:r>
      <w:r>
        <w:t xml:space="preserve"> </w:t>
      </w:r>
      <w:r w:rsidRPr="00D80922">
        <w:t>supplemental</w:t>
      </w:r>
      <w:r>
        <w:t xml:space="preserve"> </w:t>
      </w:r>
      <w:r w:rsidRPr="00D80922">
        <w:t xml:space="preserve">EIS </w:t>
      </w:r>
      <w:r>
        <w:t>. . .</w:t>
      </w:r>
      <w:r w:rsidRPr="00D80922">
        <w:t xml:space="preserve"> if there remains “major Federal action to occur and if the new information is sufficient to show that the remaining action will affect the quality of the human</w:t>
      </w:r>
      <w:r>
        <w:t xml:space="preserve"> </w:t>
      </w:r>
      <w:r w:rsidRPr="00D80922">
        <w:t>environment</w:t>
      </w:r>
      <w:r>
        <w:t xml:space="preserve"> </w:t>
      </w:r>
      <w:r w:rsidRPr="00D80922">
        <w:t>in a significant manner or to a significant extent not already considered</w:t>
      </w:r>
      <w:r>
        <w:t xml:space="preserve">”).  Accordingly, we disagree with Venture Global’s assertions that because Petitioners did not advocate for supplemental NEPA to address cumulative air issues, the Commission was not required to supplement its EIS.  Venture Global Rehearing Request at 35-36.  </w:t>
      </w:r>
    </w:p>
  </w:footnote>
  <w:footnote w:id="144">
    <w:p w14:paraId="782392B4" w14:textId="77777777" w:rsidR="0067595C" w:rsidRDefault="0067595C" w:rsidP="0067595C">
      <w:pPr>
        <w:pStyle w:val="FootnoteText"/>
      </w:pPr>
      <w:r>
        <w:rPr>
          <w:rStyle w:val="FootnoteReference"/>
        </w:rPr>
        <w:footnoteRef/>
      </w:r>
      <w:r>
        <w:t xml:space="preserve"> </w:t>
      </w:r>
      <w:r w:rsidRPr="00277749">
        <w:t xml:space="preserve">Venture Global Rehearing Request at 37-38 (citing </w:t>
      </w:r>
      <w:r w:rsidRPr="00277749">
        <w:rPr>
          <w:i/>
          <w:iCs/>
        </w:rPr>
        <w:t>Marin Audubon Soc’y v. Fed. Aviation Admin.</w:t>
      </w:r>
      <w:r w:rsidRPr="00277749">
        <w:t xml:space="preserve">, 121 F.4th 902 (D.C. Cir. 2024), </w:t>
      </w:r>
      <w:r w:rsidRPr="00277749">
        <w:rPr>
          <w:i/>
          <w:iCs/>
        </w:rPr>
        <w:t>reh’g denied en banc</w:t>
      </w:r>
      <w:r w:rsidRPr="00277749">
        <w:t xml:space="preserve">, </w:t>
      </w:r>
      <w:r w:rsidR="0038746F">
        <w:t xml:space="preserve">                          </w:t>
      </w:r>
      <w:r w:rsidRPr="00277749">
        <w:t>No. 23-1067, 2025 WL 374897 (D.C. Cir. Jan. 31, 2025) (</w:t>
      </w:r>
      <w:r w:rsidRPr="00277749">
        <w:rPr>
          <w:i/>
          <w:iCs/>
        </w:rPr>
        <w:t>Marin Audubon</w:t>
      </w:r>
      <w:r w:rsidRPr="00277749">
        <w:t>)</w:t>
      </w:r>
      <w:r w:rsidR="001107C3" w:rsidRPr="001107C3">
        <w:rPr>
          <w:szCs w:val="22"/>
        </w:rPr>
        <w:t xml:space="preserve"> </w:t>
      </w:r>
      <w:r w:rsidR="001107C3" w:rsidRPr="001107C3">
        <w:t>(holding that CEQ’s regulations implementing NEPA are not judicially enforceable or binding)</w:t>
      </w:r>
      <w:r w:rsidR="001107C3">
        <w:t>)</w:t>
      </w:r>
      <w:r w:rsidRPr="00277749">
        <w:t xml:space="preserve">.  </w:t>
      </w:r>
    </w:p>
  </w:footnote>
  <w:footnote w:id="145">
    <w:p w14:paraId="07BFED58" w14:textId="77777777" w:rsidR="001C299F" w:rsidRDefault="001C299F">
      <w:pPr>
        <w:pStyle w:val="FootnoteText"/>
      </w:pPr>
      <w:r>
        <w:rPr>
          <w:rStyle w:val="FootnoteReference"/>
        </w:rPr>
        <w:footnoteRef/>
      </w:r>
      <w:r>
        <w:t xml:space="preserve"> </w:t>
      </w:r>
      <w:r w:rsidRPr="00277749">
        <w:rPr>
          <w:i/>
          <w:iCs/>
        </w:rPr>
        <w:t>See Marsh</w:t>
      </w:r>
      <w:r w:rsidRPr="00277749">
        <w:t>, 490 U.S. at 371 (“Preparation of such [supplemental environmental impact] statements, however, is at times necessary to satisfy the Act’s “action-forcing” purpose.”).</w:t>
      </w:r>
    </w:p>
  </w:footnote>
  <w:footnote w:id="146">
    <w:p w14:paraId="6900F673" w14:textId="77777777" w:rsidR="0067595C" w:rsidRPr="005C502F" w:rsidRDefault="0067595C" w:rsidP="0067595C">
      <w:pPr>
        <w:pStyle w:val="FootnoteText"/>
      </w:pPr>
      <w:r>
        <w:rPr>
          <w:rStyle w:val="FootnoteReference"/>
        </w:rPr>
        <w:footnoteRef/>
      </w:r>
      <w:r>
        <w:t xml:space="preserve"> Venture Global Rehearing Request at 38-39 (citing </w:t>
      </w:r>
      <w:r w:rsidRPr="00167C27">
        <w:rPr>
          <w:i/>
          <w:iCs/>
        </w:rPr>
        <w:t>Marsh</w:t>
      </w:r>
      <w:r w:rsidRPr="00167C27">
        <w:t xml:space="preserve">, 490 U.S. 360 </w:t>
      </w:r>
      <w:r>
        <w:t xml:space="preserve">and </w:t>
      </w:r>
      <w:r w:rsidRPr="005C502F">
        <w:rPr>
          <w:i/>
          <w:iCs/>
        </w:rPr>
        <w:t xml:space="preserve">Norton v. </w:t>
      </w:r>
      <w:r>
        <w:rPr>
          <w:i/>
          <w:iCs/>
        </w:rPr>
        <w:t>S.</w:t>
      </w:r>
      <w:r w:rsidRPr="005C502F">
        <w:rPr>
          <w:i/>
          <w:iCs/>
        </w:rPr>
        <w:t xml:space="preserve"> Utah Wilderness </w:t>
      </w:r>
      <w:r>
        <w:rPr>
          <w:i/>
          <w:iCs/>
        </w:rPr>
        <w:t>All.</w:t>
      </w:r>
      <w:r>
        <w:t xml:space="preserve">, </w:t>
      </w:r>
      <w:r w:rsidRPr="005C502F">
        <w:t>542 U.S. 55, 72-73 (2004)</w:t>
      </w:r>
      <w:r>
        <w:t xml:space="preserve">).  </w:t>
      </w:r>
    </w:p>
  </w:footnote>
  <w:footnote w:id="147">
    <w:p w14:paraId="64FB7D6E" w14:textId="77777777" w:rsidR="0067595C" w:rsidRDefault="0067595C" w:rsidP="0067595C">
      <w:pPr>
        <w:pStyle w:val="FootnoteText"/>
      </w:pPr>
      <w:r>
        <w:rPr>
          <w:rStyle w:val="FootnoteReference"/>
        </w:rPr>
        <w:footnoteRef/>
      </w:r>
      <w:r>
        <w:t xml:space="preserve"> </w:t>
      </w:r>
      <w:r>
        <w:rPr>
          <w:i/>
          <w:iCs/>
        </w:rPr>
        <w:t>Id.</w:t>
      </w:r>
      <w:r>
        <w:t xml:space="preserve"> at 39.</w:t>
      </w:r>
    </w:p>
  </w:footnote>
  <w:footnote w:id="148">
    <w:p w14:paraId="1F07D522" w14:textId="77777777" w:rsidR="0067595C" w:rsidRDefault="0067595C" w:rsidP="0067595C">
      <w:pPr>
        <w:pStyle w:val="FootnoteText"/>
        <w:spacing w:before="240"/>
      </w:pPr>
      <w:r>
        <w:rPr>
          <w:rStyle w:val="FootnoteReference"/>
        </w:rPr>
        <w:footnoteRef/>
      </w:r>
      <w:r>
        <w:t xml:space="preserve"> </w:t>
      </w:r>
      <w:r w:rsidRPr="00C82598">
        <w:rPr>
          <w:i/>
          <w:iCs/>
        </w:rPr>
        <w:t>Hammond v. Norton</w:t>
      </w:r>
      <w:r w:rsidRPr="00C82598">
        <w:t>, 370 F. Supp. 2d 226, 255 (D.D.C. 2005)</w:t>
      </w:r>
      <w:r>
        <w:t xml:space="preserve"> (citing </w:t>
      </w:r>
      <w:r w:rsidRPr="00C82598">
        <w:rPr>
          <w:i/>
          <w:iCs/>
        </w:rPr>
        <w:t>Citizens Against Rails–to–Trails v. Surface Transp. Bd.,</w:t>
      </w:r>
      <w:r w:rsidRPr="00C82598">
        <w:t> 267 F.3d 1144, 1151 (D.C.Cir.2001)</w:t>
      </w:r>
      <w:r>
        <w:t xml:space="preserve"> (</w:t>
      </w:r>
      <w:r w:rsidRPr="00C82598">
        <w:rPr>
          <w:i/>
          <w:iCs/>
        </w:rPr>
        <w:t>Citizens Against Rails–to–Trails</w:t>
      </w:r>
      <w:r>
        <w:t xml:space="preserve">)).  </w:t>
      </w:r>
    </w:p>
  </w:footnote>
  <w:footnote w:id="149">
    <w:p w14:paraId="0A88299C" w14:textId="77777777" w:rsidR="0067595C" w:rsidRDefault="0067595C" w:rsidP="0067595C">
      <w:pPr>
        <w:pStyle w:val="FootnoteText"/>
      </w:pPr>
      <w:r>
        <w:rPr>
          <w:rStyle w:val="FootnoteReference"/>
        </w:rPr>
        <w:footnoteRef/>
      </w:r>
      <w:r>
        <w:t xml:space="preserve"> </w:t>
      </w:r>
      <w:r w:rsidRPr="00C82598">
        <w:rPr>
          <w:i/>
          <w:iCs/>
        </w:rPr>
        <w:t>Citizens Against Rails–to–Trails</w:t>
      </w:r>
      <w:r w:rsidRPr="00A44D29">
        <w:rPr>
          <w:i/>
          <w:iCs/>
        </w:rPr>
        <w:t>,</w:t>
      </w:r>
      <w:r>
        <w:t xml:space="preserve"> </w:t>
      </w:r>
      <w:r w:rsidRPr="00C82598">
        <w:t xml:space="preserve">267 F.3d </w:t>
      </w:r>
      <w:r>
        <w:t>at</w:t>
      </w:r>
      <w:r w:rsidRPr="00C82598">
        <w:t xml:space="preserve"> 1151 (</w:t>
      </w:r>
      <w:r>
        <w:t xml:space="preserve">citations omitted); </w:t>
      </w:r>
      <w:r>
        <w:rPr>
          <w:i/>
          <w:iCs/>
        </w:rPr>
        <w:t>see also</w:t>
      </w:r>
      <w:r>
        <w:t xml:space="preserve"> </w:t>
      </w:r>
      <w:r w:rsidRPr="00607342">
        <w:rPr>
          <w:i/>
          <w:iCs/>
        </w:rPr>
        <w:t>Macht v. Skinner,</w:t>
      </w:r>
      <w:r>
        <w:t xml:space="preserve"> </w:t>
      </w:r>
      <w:r w:rsidRPr="00607342">
        <w:t>916 F.2d 13, 18 (D.C.</w:t>
      </w:r>
      <w:r>
        <w:t xml:space="preserve"> </w:t>
      </w:r>
      <w:r w:rsidRPr="00607342">
        <w:t>Cir.</w:t>
      </w:r>
      <w:r>
        <w:t xml:space="preserve"> </w:t>
      </w:r>
      <w:r w:rsidRPr="00607342">
        <w:t>1990)</w:t>
      </w:r>
      <w:r>
        <w:t xml:space="preserve"> (explaining the two-fold purposes of NEPA).  </w:t>
      </w:r>
    </w:p>
  </w:footnote>
  <w:footnote w:id="150">
    <w:p w14:paraId="24B0F840" w14:textId="77777777" w:rsidR="0067595C" w:rsidRPr="00064C32" w:rsidRDefault="0067595C" w:rsidP="0067595C">
      <w:pPr>
        <w:pStyle w:val="FootnoteText"/>
      </w:pPr>
      <w:r>
        <w:rPr>
          <w:rStyle w:val="FootnoteReference"/>
        </w:rPr>
        <w:footnoteRef/>
      </w:r>
      <w:r>
        <w:t xml:space="preserve"> </w:t>
      </w:r>
      <w:r>
        <w:rPr>
          <w:i/>
          <w:iCs/>
        </w:rPr>
        <w:t xml:space="preserve">See Allegheny Def. </w:t>
      </w:r>
      <w:r w:rsidR="006D3791">
        <w:rPr>
          <w:i/>
          <w:iCs/>
        </w:rPr>
        <w:t>Project</w:t>
      </w:r>
      <w:r>
        <w:t xml:space="preserve">, </w:t>
      </w:r>
      <w:r w:rsidRPr="00CA5651">
        <w:t xml:space="preserve">964 F.3d </w:t>
      </w:r>
      <w:r>
        <w:t>at</w:t>
      </w:r>
      <w:r w:rsidRPr="00CA5651">
        <w:t xml:space="preserve"> 9</w:t>
      </w:r>
      <w:r>
        <w:t xml:space="preserve"> (quoting 15 U.S.C. § 717r(a)); </w:t>
      </w:r>
      <w:r>
        <w:rPr>
          <w:i/>
          <w:iCs/>
        </w:rPr>
        <w:t>see also</w:t>
      </w:r>
      <w:r>
        <w:t xml:space="preserve"> </w:t>
      </w:r>
      <w:r w:rsidRPr="00167414">
        <w:rPr>
          <w:i/>
          <w:iCs/>
        </w:rPr>
        <w:t>Jack M. Fuls</w:t>
      </w:r>
      <w:r w:rsidRPr="005D2E6E">
        <w:t xml:space="preserve">, 36 FERC ¶ 61,136, </w:t>
      </w:r>
      <w:r>
        <w:t xml:space="preserve">at </w:t>
      </w:r>
      <w:r w:rsidRPr="005D2E6E">
        <w:t>61,342 (1986)</w:t>
      </w:r>
      <w:r>
        <w:t xml:space="preserve"> (“</w:t>
      </w:r>
      <w:r w:rsidRPr="005D2E6E">
        <w:t xml:space="preserve">Because of the pending </w:t>
      </w:r>
      <w:r>
        <w:t xml:space="preserve">. . . </w:t>
      </w:r>
      <w:r w:rsidRPr="005D2E6E">
        <w:t>rehearing request, our order issuing license does not become final until we take action on that rehearing request, and we can amend or otherwise modify the license, or even rescind it, until we take such action</w:t>
      </w:r>
      <w:r>
        <w:t xml:space="preserve">.”).  </w:t>
      </w:r>
    </w:p>
  </w:footnote>
  <w:footnote w:id="151">
    <w:p w14:paraId="34307A08" w14:textId="77777777" w:rsidR="0067595C" w:rsidRPr="00B9262A" w:rsidRDefault="0067595C" w:rsidP="0067595C">
      <w:pPr>
        <w:pStyle w:val="FootnoteText"/>
      </w:pPr>
      <w:r>
        <w:rPr>
          <w:rStyle w:val="FootnoteReference"/>
        </w:rPr>
        <w:footnoteRef/>
      </w:r>
      <w:r>
        <w:t xml:space="preserve"> </w:t>
      </w:r>
      <w:r>
        <w:rPr>
          <w:i/>
          <w:iCs/>
        </w:rPr>
        <w:t>See</w:t>
      </w:r>
      <w:r>
        <w:t xml:space="preserve"> </w:t>
      </w:r>
      <w:r w:rsidRPr="00B9262A">
        <w:t>18 C.F.R. § 385.713(c)(2)</w:t>
      </w:r>
      <w:r>
        <w:t xml:space="preserve"> (2024).</w:t>
      </w:r>
    </w:p>
  </w:footnote>
  <w:footnote w:id="152">
    <w:p w14:paraId="42C64306" w14:textId="77777777" w:rsidR="0067595C" w:rsidRDefault="0067595C" w:rsidP="0067595C">
      <w:pPr>
        <w:pStyle w:val="FootnoteText"/>
      </w:pPr>
      <w:r>
        <w:rPr>
          <w:rStyle w:val="FootnoteReference"/>
        </w:rPr>
        <w:footnoteRef/>
      </w:r>
      <w:r>
        <w:t xml:space="preserve"> </w:t>
      </w:r>
      <w:r w:rsidRPr="00947659">
        <w:rPr>
          <w:i/>
          <w:iCs/>
        </w:rPr>
        <w:t>See, e.g.,</w:t>
      </w:r>
      <w:r>
        <w:rPr>
          <w:i/>
          <w:iCs/>
        </w:rPr>
        <w:t xml:space="preserve"> </w:t>
      </w:r>
      <w:r w:rsidRPr="00947659">
        <w:rPr>
          <w:i/>
          <w:iCs/>
        </w:rPr>
        <w:t>ZEP Grand Prairie Wind, LLC</w:t>
      </w:r>
      <w:r w:rsidRPr="00947659">
        <w:t>, 183 FERC ¶ 61,150, at P 10 (2023)</w:t>
      </w:r>
      <w:r>
        <w:t xml:space="preserve"> </w:t>
      </w:r>
      <w:r w:rsidRPr="00947659">
        <w:t>(rejecting argument on rehearing for lack of specificity where the petitioner “offer[ed] only [a] conclusory assertion in support of its position);</w:t>
      </w:r>
      <w:r>
        <w:t xml:space="preserve"> </w:t>
      </w:r>
      <w:r w:rsidRPr="00947659">
        <w:rPr>
          <w:i/>
          <w:iCs/>
        </w:rPr>
        <w:t>Turlock Irrigation Dist</w:t>
      </w:r>
      <w:r w:rsidRPr="00947659">
        <w:t xml:space="preserve">., </w:t>
      </w:r>
      <w:r w:rsidR="0038746F">
        <w:t xml:space="preserve">                      </w:t>
      </w:r>
      <w:r w:rsidRPr="00947659">
        <w:t>140 FERC ¶ 61,207, at P 27 (2012)</w:t>
      </w:r>
      <w:r>
        <w:t xml:space="preserve"> </w:t>
      </w:r>
      <w:r w:rsidRPr="00947659">
        <w:t>(finding an argument that was “nothing more than a bald assertion” as being waived for lack of specificity).</w:t>
      </w:r>
      <w:r>
        <w:t xml:space="preserve">  </w:t>
      </w:r>
    </w:p>
  </w:footnote>
  <w:footnote w:id="153">
    <w:p w14:paraId="4B0606E9" w14:textId="77777777" w:rsidR="0067595C" w:rsidRDefault="0067595C" w:rsidP="0067595C">
      <w:pPr>
        <w:pStyle w:val="FootnoteText"/>
      </w:pPr>
      <w:r>
        <w:rPr>
          <w:rStyle w:val="FootnoteReference"/>
        </w:rPr>
        <w:footnoteRef/>
      </w:r>
      <w:r>
        <w:t xml:space="preserve"> Venture Global Request for Rehearing at 43.  </w:t>
      </w:r>
    </w:p>
  </w:footnote>
  <w:footnote w:id="154">
    <w:p w14:paraId="4143E84B" w14:textId="77777777" w:rsidR="0067595C" w:rsidRPr="000158EB" w:rsidRDefault="0067595C" w:rsidP="0067595C">
      <w:pPr>
        <w:pStyle w:val="FootnoteText"/>
      </w:pPr>
      <w:r>
        <w:rPr>
          <w:rStyle w:val="FootnoteReference"/>
        </w:rPr>
        <w:footnoteRef/>
      </w:r>
      <w:r>
        <w:t xml:space="preserve"> </w:t>
      </w:r>
      <w:r>
        <w:rPr>
          <w:i/>
          <w:iCs/>
        </w:rPr>
        <w:t>Id.</w:t>
      </w:r>
      <w:r>
        <w:t xml:space="preserve"> (citing </w:t>
      </w:r>
      <w:r>
        <w:rPr>
          <w:i/>
          <w:iCs/>
        </w:rPr>
        <w:t xml:space="preserve">Allegheny Def. </w:t>
      </w:r>
      <w:r w:rsidR="006D3791">
        <w:rPr>
          <w:i/>
          <w:iCs/>
        </w:rPr>
        <w:t>Project</w:t>
      </w:r>
      <w:r>
        <w:t xml:space="preserve">, </w:t>
      </w:r>
      <w:r w:rsidRPr="00CA5651">
        <w:t xml:space="preserve">964 F.3d </w:t>
      </w:r>
      <w:r>
        <w:t>at</w:t>
      </w:r>
      <w:r w:rsidRPr="00CA5651">
        <w:t xml:space="preserve"> 9</w:t>
      </w:r>
      <w:r>
        <w:t xml:space="preserve">).  </w:t>
      </w:r>
    </w:p>
  </w:footnote>
  <w:footnote w:id="155">
    <w:p w14:paraId="6533624E" w14:textId="77777777" w:rsidR="0067595C" w:rsidRDefault="0067595C" w:rsidP="0067595C">
      <w:pPr>
        <w:pStyle w:val="FootnoteText"/>
      </w:pPr>
      <w:r>
        <w:rPr>
          <w:rStyle w:val="FootnoteReference"/>
        </w:rPr>
        <w:footnoteRef/>
      </w:r>
      <w:r>
        <w:t xml:space="preserve"> </w:t>
      </w:r>
      <w:r>
        <w:rPr>
          <w:i/>
          <w:iCs/>
        </w:rPr>
        <w:t>Id.</w:t>
      </w:r>
      <w:r>
        <w:t xml:space="preserve"> at 43-44.  </w:t>
      </w:r>
    </w:p>
  </w:footnote>
  <w:footnote w:id="156">
    <w:p w14:paraId="7F4F3B19" w14:textId="77777777" w:rsidR="0067595C" w:rsidRDefault="0067595C" w:rsidP="0067595C">
      <w:pPr>
        <w:pStyle w:val="FootnoteText"/>
      </w:pPr>
      <w:r>
        <w:rPr>
          <w:rStyle w:val="FootnoteReference"/>
        </w:rPr>
        <w:footnoteRef/>
      </w:r>
      <w:r>
        <w:t xml:space="preserve"> </w:t>
      </w:r>
      <w:r>
        <w:rPr>
          <w:i/>
          <w:iCs/>
        </w:rPr>
        <w:t xml:space="preserve">Allegheny Def. </w:t>
      </w:r>
      <w:r w:rsidR="006D3791">
        <w:rPr>
          <w:i/>
          <w:iCs/>
        </w:rPr>
        <w:t>Project</w:t>
      </w:r>
      <w:r>
        <w:t xml:space="preserve">, </w:t>
      </w:r>
      <w:r w:rsidRPr="00CA5651">
        <w:t xml:space="preserve">964 F.3d </w:t>
      </w:r>
      <w:r>
        <w:t>at</w:t>
      </w:r>
      <w:r w:rsidRPr="00CA5651">
        <w:t xml:space="preserve"> </w:t>
      </w:r>
      <w:r>
        <w:t>10.</w:t>
      </w:r>
    </w:p>
  </w:footnote>
  <w:footnote w:id="157">
    <w:p w14:paraId="1D9B3C73" w14:textId="77777777" w:rsidR="0067595C" w:rsidRDefault="0067595C" w:rsidP="0067595C">
      <w:pPr>
        <w:pStyle w:val="FootnoteText"/>
      </w:pPr>
      <w:r>
        <w:rPr>
          <w:rStyle w:val="FootnoteReference"/>
        </w:rPr>
        <w:footnoteRef/>
      </w:r>
      <w:r>
        <w:t xml:space="preserve"> </w:t>
      </w:r>
      <w:r w:rsidRPr="00226216">
        <w:rPr>
          <w:i/>
          <w:iCs/>
        </w:rPr>
        <w:t>Venture Glob. CP2 LNG, LLC</w:t>
      </w:r>
      <w:r w:rsidRPr="00226216">
        <w:t>, 188 FERC ¶ 62,109 (</w:t>
      </w:r>
      <w:r>
        <w:t xml:space="preserve">2024) </w:t>
      </w:r>
      <w:r w:rsidRPr="00226216">
        <w:t>(Notice of Denial of Rehearing by Operation of Law and Providing for Further Consideration)</w:t>
      </w:r>
      <w:r>
        <w:t>.</w:t>
      </w:r>
    </w:p>
  </w:footnote>
  <w:footnote w:id="158">
    <w:p w14:paraId="676ABFBF" w14:textId="77777777" w:rsidR="00A9469A" w:rsidRDefault="00A9469A">
      <w:pPr>
        <w:pStyle w:val="FootnoteText"/>
      </w:pPr>
      <w:r>
        <w:rPr>
          <w:rStyle w:val="FootnoteReference"/>
        </w:rPr>
        <w:footnoteRef/>
      </w:r>
      <w:r>
        <w:t xml:space="preserve"> </w:t>
      </w:r>
      <w:r w:rsidRPr="00A9469A">
        <w:t>Venture Global Rehearing Request at 44.</w:t>
      </w:r>
    </w:p>
  </w:footnote>
  <w:footnote w:id="159">
    <w:p w14:paraId="054AF688" w14:textId="77777777" w:rsidR="00A9469A" w:rsidRDefault="00A9469A">
      <w:pPr>
        <w:pStyle w:val="FootnoteText"/>
      </w:pPr>
      <w:r>
        <w:rPr>
          <w:rStyle w:val="FootnoteReference"/>
        </w:rPr>
        <w:footnoteRef/>
      </w:r>
      <w:r>
        <w:t xml:space="preserve"> </w:t>
      </w:r>
      <w:r w:rsidRPr="00A9469A">
        <w:rPr>
          <w:i/>
          <w:iCs/>
        </w:rPr>
        <w:t>See supra</w:t>
      </w:r>
      <w:r w:rsidRPr="00A9469A">
        <w:t xml:space="preserve"> </w:t>
      </w:r>
      <w:r w:rsidRPr="009A21BD">
        <w:t xml:space="preserve">note </w:t>
      </w:r>
      <w:r w:rsidR="006D327E">
        <w:t>122</w:t>
      </w:r>
      <w:r w:rsidRPr="00A9469A">
        <w:t xml:space="preserve">.  </w:t>
      </w:r>
    </w:p>
  </w:footnote>
  <w:footnote w:id="160">
    <w:p w14:paraId="27E0615A" w14:textId="77777777" w:rsidR="00974A18" w:rsidRDefault="00974A18" w:rsidP="00974A18">
      <w:pPr>
        <w:pStyle w:val="FootnoteText"/>
      </w:pPr>
      <w:r>
        <w:rPr>
          <w:rStyle w:val="FootnoteReference"/>
        </w:rPr>
        <w:footnoteRef/>
      </w:r>
      <w:r>
        <w:t xml:space="preserve"> </w:t>
      </w:r>
      <w:r w:rsidR="0028195C">
        <w:t>Petitioners</w:t>
      </w:r>
      <w:r>
        <w:t xml:space="preserve"> Rehearing Request at 154.  </w:t>
      </w:r>
    </w:p>
  </w:footnote>
  <w:footnote w:id="161">
    <w:p w14:paraId="66037809" w14:textId="77777777" w:rsidR="00974A18" w:rsidRDefault="00974A18" w:rsidP="00974A18">
      <w:pPr>
        <w:pStyle w:val="FootnoteText"/>
      </w:pPr>
      <w:r>
        <w:rPr>
          <w:rStyle w:val="FootnoteReference"/>
        </w:rPr>
        <w:footnoteRef/>
      </w:r>
      <w:r>
        <w:t xml:space="preserve"> </w:t>
      </w:r>
      <w:r>
        <w:rPr>
          <w:i/>
          <w:iCs/>
        </w:rPr>
        <w:t>Id.</w:t>
      </w:r>
      <w:r>
        <w:t xml:space="preserve"> at 156 (citing </w:t>
      </w:r>
      <w:r w:rsidRPr="006B61BC">
        <w:t>Sierra Club</w:t>
      </w:r>
      <w:r>
        <w:t xml:space="preserve"> April 22, 2024 Comment </w:t>
      </w:r>
      <w:r w:rsidRPr="006B61BC">
        <w:t xml:space="preserve">on Response to </w:t>
      </w:r>
      <w:r w:rsidR="0038746F">
        <w:t xml:space="preserve">             </w:t>
      </w:r>
      <w:r w:rsidRPr="006B61BC">
        <w:t xml:space="preserve">March 26, 2024 </w:t>
      </w:r>
      <w:r>
        <w:t xml:space="preserve">Data Request). </w:t>
      </w:r>
      <w:r w:rsidRPr="006B61BC">
        <w:t xml:space="preserve"> </w:t>
      </w:r>
    </w:p>
  </w:footnote>
  <w:footnote w:id="162">
    <w:p w14:paraId="2E20CFE8" w14:textId="77777777" w:rsidR="00956214" w:rsidRDefault="00956214" w:rsidP="00956214">
      <w:pPr>
        <w:pStyle w:val="FootnoteText"/>
      </w:pPr>
      <w:r>
        <w:rPr>
          <w:rStyle w:val="FootnoteReference"/>
        </w:rPr>
        <w:footnoteRef/>
      </w:r>
      <w:r>
        <w:t xml:space="preserve"> EPA, </w:t>
      </w:r>
      <w:r w:rsidRPr="00E53471">
        <w:rPr>
          <w:i/>
          <w:iCs/>
        </w:rPr>
        <w:t>Guidance on Developing Background Concentrations for Use in Modeling Demonstrations</w:t>
      </w:r>
      <w:r>
        <w:t xml:space="preserve"> 20 (November 2024), available at </w:t>
      </w:r>
      <w:r w:rsidR="00E65EB7" w:rsidRPr="00C218AB">
        <w:t>https://www.epa.gov/‌system/files/documents/2024-11/background-concentrations.pdf</w:t>
      </w:r>
      <w:r>
        <w:t xml:space="preserve">.  </w:t>
      </w:r>
    </w:p>
  </w:footnote>
  <w:footnote w:id="163">
    <w:p w14:paraId="3BD4BA91" w14:textId="77777777" w:rsidR="00956214" w:rsidRPr="00AE1FFD" w:rsidRDefault="00956214" w:rsidP="00956214">
      <w:pPr>
        <w:pStyle w:val="FootnoteText"/>
      </w:pPr>
      <w:r>
        <w:rPr>
          <w:rStyle w:val="FootnoteReference"/>
        </w:rPr>
        <w:footnoteRef/>
      </w:r>
      <w:r>
        <w:t xml:space="preserve"> </w:t>
      </w:r>
      <w:r>
        <w:rPr>
          <w:i/>
          <w:iCs/>
        </w:rPr>
        <w:t>Id.</w:t>
      </w:r>
      <w:r>
        <w:t xml:space="preserve">  </w:t>
      </w:r>
    </w:p>
  </w:footnote>
  <w:footnote w:id="164">
    <w:p w14:paraId="6B062ADC" w14:textId="77777777" w:rsidR="00956214" w:rsidRPr="00AE1FFD" w:rsidRDefault="00956214" w:rsidP="00956214">
      <w:pPr>
        <w:pStyle w:val="FootnoteText"/>
      </w:pPr>
      <w:r>
        <w:rPr>
          <w:rStyle w:val="FootnoteReference"/>
        </w:rPr>
        <w:footnoteRef/>
      </w:r>
      <w:r>
        <w:t xml:space="preserve"> </w:t>
      </w:r>
      <w:r>
        <w:rPr>
          <w:i/>
          <w:iCs/>
        </w:rPr>
        <w:t>Id.</w:t>
      </w:r>
      <w:r>
        <w:t xml:space="preserve">  </w:t>
      </w:r>
    </w:p>
  </w:footnote>
  <w:footnote w:id="165">
    <w:p w14:paraId="66A7201F" w14:textId="77777777" w:rsidR="000C6286" w:rsidRDefault="000C6286">
      <w:pPr>
        <w:pStyle w:val="FootnoteText"/>
      </w:pPr>
      <w:r>
        <w:rPr>
          <w:rStyle w:val="FootnoteReference"/>
        </w:rPr>
        <w:footnoteRef/>
      </w:r>
      <w:r>
        <w:t xml:space="preserve"> </w:t>
      </w:r>
      <w:r w:rsidR="00E86C90">
        <w:rPr>
          <w:i/>
          <w:iCs/>
        </w:rPr>
        <w:t>See, e.g.</w:t>
      </w:r>
      <w:r w:rsidR="00E86C90">
        <w:t xml:space="preserve">, </w:t>
      </w:r>
      <w:r w:rsidR="00E86C90" w:rsidRPr="007B02D9">
        <w:rPr>
          <w:i/>
        </w:rPr>
        <w:t>Transcon. Gas Pipe Line Co.</w:t>
      </w:r>
      <w:r w:rsidR="00E86C90" w:rsidRPr="00E86C90">
        <w:t>, 187 FERC ¶ 61,024</w:t>
      </w:r>
      <w:r w:rsidR="00E86C90">
        <w:t>, at P 74</w:t>
      </w:r>
      <w:r w:rsidR="00E86C90" w:rsidRPr="00E86C90">
        <w:t xml:space="preserve"> (2024)</w:t>
      </w:r>
      <w:r w:rsidR="00E86C90">
        <w:t xml:space="preserve"> (</w:t>
      </w:r>
      <w:r w:rsidR="004D3B67">
        <w:t>“</w:t>
      </w:r>
      <w:r w:rsidR="004D3B67" w:rsidRPr="004D3B67">
        <w:t>In carrying out its NEPA responsibilities, Commission staff relies on other agencies</w:t>
      </w:r>
      <w:r w:rsidR="004D3B67">
        <w:t>’</w:t>
      </w:r>
      <w:r w:rsidR="004D3B67" w:rsidRPr="004D3B67">
        <w:t xml:space="preserve"> expertise, including that of the EPA and Virginia DEQ, which establish methodologies and standards for assessing air quality impacts</w:t>
      </w:r>
      <w:r w:rsidR="004D3B67">
        <w:t xml:space="preserve">.”); </w:t>
      </w:r>
      <w:r w:rsidR="00840288" w:rsidRPr="007B02D9">
        <w:rPr>
          <w:i/>
        </w:rPr>
        <w:t>Millennium Pipeline Co.</w:t>
      </w:r>
      <w:r w:rsidR="00840288" w:rsidRPr="00840288">
        <w:t xml:space="preserve">, 161 FERC </w:t>
      </w:r>
      <w:r w:rsidR="0038746F">
        <w:t xml:space="preserve">          </w:t>
      </w:r>
      <w:r w:rsidR="00840288" w:rsidRPr="00840288">
        <w:t>¶ 61,229</w:t>
      </w:r>
      <w:r w:rsidR="00840288">
        <w:t>, at P 134</w:t>
      </w:r>
      <w:r w:rsidR="00840288" w:rsidRPr="00840288">
        <w:t xml:space="preserve"> (2017)</w:t>
      </w:r>
      <w:r w:rsidR="00840288">
        <w:t xml:space="preserve"> (</w:t>
      </w:r>
      <w:r w:rsidR="00C70684">
        <w:t>“I</w:t>
      </w:r>
      <w:r w:rsidR="00C70684" w:rsidRPr="00C70684">
        <w:t>n carrying out its NEPA responsibilities, Commission staff relies on other agencies</w:t>
      </w:r>
      <w:r w:rsidR="00C70684">
        <w:t>’</w:t>
      </w:r>
      <w:r w:rsidR="00C70684" w:rsidRPr="00C70684">
        <w:t xml:space="preserve"> expertise, including that of the EPA and New York DEC, which establish methodologies and standards for assessing air quality impacts.</w:t>
      </w:r>
      <w:r w:rsidR="00C70684">
        <w:t>”)</w:t>
      </w:r>
      <w:r w:rsidR="00346C4A">
        <w:t xml:space="preserve">; </w:t>
      </w:r>
      <w:r w:rsidR="00346C4A">
        <w:rPr>
          <w:i/>
          <w:iCs/>
        </w:rPr>
        <w:t>see also</w:t>
      </w:r>
      <w:r w:rsidR="00346C4A">
        <w:t xml:space="preserve"> </w:t>
      </w:r>
      <w:r w:rsidR="00346C4A" w:rsidRPr="007B02D9">
        <w:rPr>
          <w:i/>
        </w:rPr>
        <w:t>Gas Transmission Nw. LLC</w:t>
      </w:r>
      <w:r w:rsidR="00346C4A" w:rsidRPr="00346C4A">
        <w:t xml:space="preserve">, 181 FERC ¶ 61,234, </w:t>
      </w:r>
      <w:r w:rsidR="00C218AB">
        <w:t xml:space="preserve">at </w:t>
      </w:r>
      <w:r w:rsidR="00346C4A" w:rsidRPr="00346C4A">
        <w:t>62,704 (2022)</w:t>
      </w:r>
      <w:r w:rsidR="00346C4A">
        <w:t xml:space="preserve"> (citing </w:t>
      </w:r>
      <w:r w:rsidR="00F975F1" w:rsidRPr="007B02D9">
        <w:rPr>
          <w:i/>
        </w:rPr>
        <w:t>City of Bos. Delegation v. FERC</w:t>
      </w:r>
      <w:r w:rsidR="00F975F1" w:rsidRPr="007B02D9">
        <w:t>, 897 F.3d 241, 255 (D.C. Cir. 2018)</w:t>
      </w:r>
      <w:r w:rsidR="00F50E26">
        <w:t xml:space="preserve"> (</w:t>
      </w:r>
      <w:r w:rsidR="00F50E26" w:rsidRPr="00F50E26">
        <w:rPr>
          <w:i/>
          <w:iCs/>
        </w:rPr>
        <w:t>City of Bos.</w:t>
      </w:r>
      <w:r w:rsidR="00F50E26">
        <w:t>)</w:t>
      </w:r>
      <w:r w:rsidR="00F975F1">
        <w:t xml:space="preserve"> and </w:t>
      </w:r>
      <w:r w:rsidR="00F975F1" w:rsidRPr="007B02D9">
        <w:rPr>
          <w:i/>
        </w:rPr>
        <w:t>City of Pittsburgh v. FPC</w:t>
      </w:r>
      <w:r w:rsidR="00F975F1" w:rsidRPr="007B02D9">
        <w:t>, 237 F.2d 741, 754 (D.C. Cir. 1956)</w:t>
      </w:r>
      <w:r w:rsidR="00F975F1">
        <w:t>) (“</w:t>
      </w:r>
      <w:r w:rsidR="00562F70" w:rsidRPr="00562F70">
        <w:t>The Commission may, in appropriate circumstances, rely upon standards or guidance promulgated by other agencies.</w:t>
      </w:r>
      <w:r w:rsidR="00562F70">
        <w:t xml:space="preserve">”).  </w:t>
      </w:r>
    </w:p>
  </w:footnote>
  <w:footnote w:id="166">
    <w:p w14:paraId="34883C2D" w14:textId="77777777" w:rsidR="00A06DD6" w:rsidRPr="00167414" w:rsidRDefault="00A06DD6">
      <w:pPr>
        <w:pStyle w:val="FootnoteText"/>
        <w:rPr>
          <w:i/>
          <w:iCs/>
        </w:rPr>
      </w:pPr>
      <w:r>
        <w:rPr>
          <w:rStyle w:val="FootnoteReference"/>
        </w:rPr>
        <w:footnoteRef/>
      </w:r>
      <w:r>
        <w:t xml:space="preserve"> </w:t>
      </w:r>
      <w:r w:rsidR="005D746D" w:rsidRPr="00FD3F39">
        <w:rPr>
          <w:i/>
          <w:iCs/>
        </w:rPr>
        <w:t>Millennium Pipeline Co.</w:t>
      </w:r>
      <w:r w:rsidR="005D746D" w:rsidRPr="00944290">
        <w:t>, 161 FERC ¶ 61,229</w:t>
      </w:r>
      <w:r w:rsidR="005D746D">
        <w:t xml:space="preserve"> at P 132; </w:t>
      </w:r>
      <w:r w:rsidR="005D746D">
        <w:rPr>
          <w:i/>
          <w:iCs/>
        </w:rPr>
        <w:t>s</w:t>
      </w:r>
      <w:r w:rsidR="005D746D" w:rsidRPr="002C650B">
        <w:rPr>
          <w:i/>
          <w:iCs/>
        </w:rPr>
        <w:t>ee also</w:t>
      </w:r>
      <w:r w:rsidR="005D746D">
        <w:rPr>
          <w:i/>
          <w:iCs/>
        </w:rPr>
        <w:t xml:space="preserve"> </w:t>
      </w:r>
      <w:r w:rsidR="005D746D" w:rsidRPr="00770A9D">
        <w:rPr>
          <w:i/>
          <w:iCs/>
        </w:rPr>
        <w:t xml:space="preserve">EMR Network v. </w:t>
      </w:r>
      <w:r w:rsidR="005D746D">
        <w:rPr>
          <w:i/>
          <w:iCs/>
        </w:rPr>
        <w:t>Fed.</w:t>
      </w:r>
      <w:r w:rsidR="005D746D" w:rsidRPr="00770A9D">
        <w:rPr>
          <w:i/>
          <w:iCs/>
        </w:rPr>
        <w:t xml:space="preserve"> </w:t>
      </w:r>
      <w:r w:rsidR="005D746D">
        <w:rPr>
          <w:i/>
          <w:iCs/>
        </w:rPr>
        <w:t>Commc’n</w:t>
      </w:r>
      <w:r w:rsidR="005D746D" w:rsidRPr="00770A9D">
        <w:rPr>
          <w:i/>
          <w:iCs/>
        </w:rPr>
        <w:t xml:space="preserve">s </w:t>
      </w:r>
      <w:r w:rsidR="005D746D">
        <w:rPr>
          <w:i/>
          <w:iCs/>
        </w:rPr>
        <w:t>Comm’n</w:t>
      </w:r>
      <w:r w:rsidR="005D746D" w:rsidRPr="00906772">
        <w:t>, 391 F.3d 269</w:t>
      </w:r>
      <w:r w:rsidR="005D746D">
        <w:t>, 273</w:t>
      </w:r>
      <w:r w:rsidR="005D746D" w:rsidRPr="00906772">
        <w:t xml:space="preserve"> (D.C. Cir. 2004)</w:t>
      </w:r>
      <w:r w:rsidR="005D746D">
        <w:t xml:space="preserve"> (</w:t>
      </w:r>
      <w:r w:rsidR="005D746D" w:rsidRPr="005F46EB">
        <w:rPr>
          <w:i/>
          <w:iCs/>
        </w:rPr>
        <w:t>EMR Network</w:t>
      </w:r>
      <w:r w:rsidR="005D746D">
        <w:t xml:space="preserve">) </w:t>
      </w:r>
      <w:r w:rsidR="005D746D" w:rsidRPr="002C650B">
        <w:t xml:space="preserve">(finding agency properly relied </w:t>
      </w:r>
      <w:r w:rsidR="005D746D">
        <w:t xml:space="preserve">on </w:t>
      </w:r>
      <w:r w:rsidR="005D746D" w:rsidRPr="002C650B">
        <w:t>outside agency expertise).</w:t>
      </w:r>
    </w:p>
  </w:footnote>
  <w:footnote w:id="167">
    <w:p w14:paraId="697947F0" w14:textId="77777777" w:rsidR="00974A18" w:rsidRDefault="00974A18" w:rsidP="00974A18">
      <w:pPr>
        <w:pStyle w:val="FootnoteText"/>
      </w:pPr>
      <w:r>
        <w:rPr>
          <w:rStyle w:val="FootnoteReference"/>
        </w:rPr>
        <w:footnoteRef/>
      </w:r>
      <w:r>
        <w:t xml:space="preserve"> Authorization Order, 187 FERC ¶ 61,199 at P 192; CP2 LNG April 4, 2024 Response to Environmental Information Request.</w:t>
      </w:r>
    </w:p>
  </w:footnote>
  <w:footnote w:id="168">
    <w:p w14:paraId="6CC9A7DD" w14:textId="77777777" w:rsidR="00974A18" w:rsidRDefault="00974A18" w:rsidP="00974A18">
      <w:pPr>
        <w:pStyle w:val="FootnoteText"/>
      </w:pPr>
      <w:r>
        <w:rPr>
          <w:rStyle w:val="FootnoteReference"/>
        </w:rPr>
        <w:footnoteRef/>
      </w:r>
      <w:r>
        <w:t xml:space="preserve"> </w:t>
      </w:r>
      <w:r w:rsidRPr="00FC73B7">
        <w:rPr>
          <w:i/>
          <w:iCs/>
        </w:rPr>
        <w:t>See</w:t>
      </w:r>
      <w:r w:rsidRPr="00FC73B7">
        <w:t xml:space="preserve"> </w:t>
      </w:r>
      <w:r w:rsidR="00114016">
        <w:t>CP2 LNG</w:t>
      </w:r>
      <w:r w:rsidR="00F91141">
        <w:t xml:space="preserve"> </w:t>
      </w:r>
      <w:r w:rsidRPr="00FC73B7">
        <w:t>Apr</w:t>
      </w:r>
      <w:r w:rsidR="00F91141">
        <w:t>.</w:t>
      </w:r>
      <w:r w:rsidRPr="00FC73B7">
        <w:t xml:space="preserve"> 4, 2024 Response to Data Request.  </w:t>
      </w:r>
    </w:p>
  </w:footnote>
  <w:footnote w:id="169">
    <w:p w14:paraId="0F39B5C9" w14:textId="77777777" w:rsidR="00974A18" w:rsidRPr="00D900BE" w:rsidRDefault="00974A18" w:rsidP="00974A18">
      <w:pPr>
        <w:pStyle w:val="FootnoteText"/>
      </w:pPr>
      <w:r>
        <w:rPr>
          <w:rStyle w:val="FootnoteReference"/>
        </w:rPr>
        <w:footnoteRef/>
      </w:r>
      <w:r>
        <w:t xml:space="preserve"> Authorization Order, 187 FERC ¶ 61,199 at P 192; CP2 LNG Apr</w:t>
      </w:r>
      <w:r w:rsidR="00114016">
        <w:t>.</w:t>
      </w:r>
      <w:r>
        <w:t xml:space="preserve"> 4, 2024 Response to </w:t>
      </w:r>
      <w:r w:rsidR="00F43A46">
        <w:t>Data</w:t>
      </w:r>
      <w:r>
        <w:t xml:space="preserve"> Request.</w:t>
      </w:r>
    </w:p>
  </w:footnote>
  <w:footnote w:id="170">
    <w:p w14:paraId="33FF9419" w14:textId="77777777" w:rsidR="00B85EC9" w:rsidRDefault="00B85EC9">
      <w:pPr>
        <w:pStyle w:val="FootnoteText"/>
      </w:pPr>
      <w:r>
        <w:rPr>
          <w:rStyle w:val="FootnoteReference"/>
        </w:rPr>
        <w:footnoteRef/>
      </w:r>
      <w:r>
        <w:t xml:space="preserve"> </w:t>
      </w:r>
      <w:r w:rsidR="00CD38F8">
        <w:t xml:space="preserve">Dec. 10, 2024 Data Request at 1.  </w:t>
      </w:r>
    </w:p>
  </w:footnote>
  <w:footnote w:id="171">
    <w:p w14:paraId="6EE13FC5" w14:textId="77777777" w:rsidR="00B73FD8" w:rsidRDefault="00B73FD8">
      <w:pPr>
        <w:pStyle w:val="FootnoteText"/>
      </w:pPr>
      <w:r>
        <w:rPr>
          <w:rStyle w:val="FootnoteReference"/>
        </w:rPr>
        <w:footnoteRef/>
      </w:r>
      <w:r>
        <w:t xml:space="preserve"> Venture Global </w:t>
      </w:r>
      <w:r w:rsidR="00A60579">
        <w:t xml:space="preserve">Dec. 23, 2024 Response to Data Request at 1.  </w:t>
      </w:r>
    </w:p>
  </w:footnote>
  <w:footnote w:id="172">
    <w:p w14:paraId="52586DB7" w14:textId="77777777" w:rsidR="00FB7F68" w:rsidRDefault="00FB7F68">
      <w:pPr>
        <w:pStyle w:val="FootnoteText"/>
      </w:pPr>
      <w:r>
        <w:rPr>
          <w:rStyle w:val="FootnoteReference"/>
        </w:rPr>
        <w:footnoteRef/>
      </w:r>
      <w:r>
        <w:t xml:space="preserve"> </w:t>
      </w:r>
      <w:r w:rsidR="005D746D">
        <w:rPr>
          <w:i/>
          <w:iCs/>
        </w:rPr>
        <w:t>Id.</w:t>
      </w:r>
      <w:r>
        <w:t xml:space="preserve"> at 2.  </w:t>
      </w:r>
    </w:p>
  </w:footnote>
  <w:footnote w:id="173">
    <w:p w14:paraId="2575D6C8" w14:textId="77777777" w:rsidR="0074591A" w:rsidRDefault="0074591A">
      <w:pPr>
        <w:pStyle w:val="FootnoteText"/>
      </w:pPr>
      <w:r>
        <w:rPr>
          <w:rStyle w:val="FootnoteReference"/>
        </w:rPr>
        <w:footnoteRef/>
      </w:r>
      <w:r>
        <w:t xml:space="preserve"> </w:t>
      </w:r>
      <w:r w:rsidR="005D746D">
        <w:rPr>
          <w:i/>
          <w:iCs/>
        </w:rPr>
        <w:t>Id.</w:t>
      </w:r>
      <w:r w:rsidR="005D746D">
        <w:t xml:space="preserve">  </w:t>
      </w:r>
    </w:p>
  </w:footnote>
  <w:footnote w:id="174">
    <w:p w14:paraId="34BD6D34" w14:textId="77777777" w:rsidR="00F33725" w:rsidRDefault="00F33725">
      <w:pPr>
        <w:pStyle w:val="FootnoteText"/>
      </w:pPr>
      <w:r>
        <w:rPr>
          <w:rStyle w:val="FootnoteReference"/>
        </w:rPr>
        <w:footnoteRef/>
      </w:r>
      <w:r>
        <w:t xml:space="preserve"> </w:t>
      </w:r>
      <w:r w:rsidR="005D746D">
        <w:rPr>
          <w:i/>
          <w:iCs/>
        </w:rPr>
        <w:t>Id.</w:t>
      </w:r>
      <w:r>
        <w:t xml:space="preserve"> at </w:t>
      </w:r>
      <w:r w:rsidR="00630EAD">
        <w:t>2-</w:t>
      </w:r>
      <w:r w:rsidR="00BE7CFF">
        <w:t>4</w:t>
      </w:r>
      <w:r>
        <w:t xml:space="preserve">.  </w:t>
      </w:r>
    </w:p>
  </w:footnote>
  <w:footnote w:id="175">
    <w:p w14:paraId="621346B8" w14:textId="77777777" w:rsidR="00FC27C3" w:rsidRDefault="00FC27C3">
      <w:pPr>
        <w:pStyle w:val="FootnoteText"/>
      </w:pPr>
      <w:r>
        <w:rPr>
          <w:rStyle w:val="FootnoteReference"/>
        </w:rPr>
        <w:footnoteRef/>
      </w:r>
      <w:r>
        <w:t xml:space="preserve"> </w:t>
      </w:r>
      <w:r w:rsidR="005D746D">
        <w:rPr>
          <w:i/>
          <w:iCs/>
        </w:rPr>
        <w:t>Id.</w:t>
      </w:r>
      <w:r w:rsidR="005D746D">
        <w:t xml:space="preserve"> </w:t>
      </w:r>
      <w:r>
        <w:t>at 2.</w:t>
      </w:r>
    </w:p>
  </w:footnote>
  <w:footnote w:id="176">
    <w:p w14:paraId="188CF117" w14:textId="77777777" w:rsidR="00974A18" w:rsidRDefault="00974A18" w:rsidP="00974A18">
      <w:pPr>
        <w:pStyle w:val="FootnoteText"/>
      </w:pPr>
      <w:r>
        <w:rPr>
          <w:rStyle w:val="FootnoteReference"/>
        </w:rPr>
        <w:footnoteRef/>
      </w:r>
      <w:r>
        <w:t xml:space="preserve"> Authorization Order, 187 FERC ¶ 61,199 at P 194.  </w:t>
      </w:r>
    </w:p>
  </w:footnote>
  <w:footnote w:id="177">
    <w:p w14:paraId="7209B693" w14:textId="77777777" w:rsidR="001276F4" w:rsidRDefault="001276F4" w:rsidP="001276F4">
      <w:pPr>
        <w:pStyle w:val="FootnoteText"/>
      </w:pPr>
      <w:r>
        <w:rPr>
          <w:rStyle w:val="FootnoteReference"/>
        </w:rPr>
        <w:footnoteRef/>
      </w:r>
      <w:r>
        <w:t xml:space="preserve"> </w:t>
      </w:r>
      <w:r w:rsidR="00AB6F83">
        <w:t>Petitioners Rehearing Request</w:t>
      </w:r>
      <w:r>
        <w:t xml:space="preserve"> at 136-39 (citing </w:t>
      </w:r>
      <w:r w:rsidRPr="002E0E0A">
        <w:rPr>
          <w:i/>
        </w:rPr>
        <w:t>Healthy Gulf</w:t>
      </w:r>
      <w:r w:rsidRPr="002E0E0A">
        <w:t xml:space="preserve">, </w:t>
      </w:r>
      <w:r w:rsidRPr="009C54A1">
        <w:t xml:space="preserve">107 F.4th </w:t>
      </w:r>
      <w:r w:rsidR="0038746F">
        <w:t xml:space="preserve">               </w:t>
      </w:r>
      <w:r w:rsidRPr="009C54A1">
        <w:t>1</w:t>
      </w:r>
      <w:r>
        <w:t>042-45).</w:t>
      </w:r>
    </w:p>
  </w:footnote>
  <w:footnote w:id="178">
    <w:p w14:paraId="79AE2095" w14:textId="77777777" w:rsidR="001276F4" w:rsidRDefault="001276F4" w:rsidP="001276F4">
      <w:pPr>
        <w:pStyle w:val="FootnoteText"/>
      </w:pPr>
      <w:r>
        <w:rPr>
          <w:rStyle w:val="FootnoteReference"/>
        </w:rPr>
        <w:footnoteRef/>
      </w:r>
      <w:r>
        <w:t xml:space="preserve"> </w:t>
      </w:r>
      <w:r>
        <w:rPr>
          <w:i/>
          <w:iCs/>
        </w:rPr>
        <w:t>Id.</w:t>
      </w:r>
      <w:r>
        <w:t xml:space="preserve"> at 137-38.  </w:t>
      </w:r>
    </w:p>
  </w:footnote>
  <w:footnote w:id="179">
    <w:p w14:paraId="2824E5A6" w14:textId="77777777" w:rsidR="001276F4" w:rsidRDefault="001276F4" w:rsidP="001276F4">
      <w:pPr>
        <w:pStyle w:val="FootnoteText"/>
      </w:pPr>
      <w:r>
        <w:rPr>
          <w:rStyle w:val="FootnoteReference"/>
        </w:rPr>
        <w:footnoteRef/>
      </w:r>
      <w:r>
        <w:t xml:space="preserve"> </w:t>
      </w:r>
      <w:r>
        <w:rPr>
          <w:i/>
          <w:iCs/>
        </w:rPr>
        <w:t>Id.</w:t>
      </w:r>
      <w:r>
        <w:t xml:space="preserve"> at 138-39.  </w:t>
      </w:r>
    </w:p>
  </w:footnote>
  <w:footnote w:id="180">
    <w:p w14:paraId="2A8ACBFA" w14:textId="77777777" w:rsidR="00230D74" w:rsidRDefault="00230D74" w:rsidP="00230D74">
      <w:pPr>
        <w:pStyle w:val="FootnoteText"/>
      </w:pPr>
      <w:r>
        <w:rPr>
          <w:rStyle w:val="FootnoteReference"/>
        </w:rPr>
        <w:footnoteRef/>
      </w:r>
      <w:r>
        <w:t xml:space="preserve"> A </w:t>
      </w:r>
      <w:r w:rsidRPr="00F256F4">
        <w:t>PSD increment is the maximum allowable increase in the ambient concentration of a specific pollutant in an area that is in attainment of the NAAQS.</w:t>
      </w:r>
      <w:r>
        <w:t xml:space="preserve">  </w:t>
      </w:r>
      <w:r w:rsidR="00AB6F83">
        <w:t>Final EIS</w:t>
      </w:r>
      <w:r>
        <w:t xml:space="preserve"> at 4-373.</w:t>
      </w:r>
      <w:r w:rsidRPr="00F256F4">
        <w:t xml:space="preserve"> </w:t>
      </w:r>
      <w:r>
        <w:t xml:space="preserve"> </w:t>
      </w:r>
      <w:r w:rsidRPr="00F256F4">
        <w:t>Significant deterioration of air quality is deemed to occur when the amount of additional new pollution exceeds the applicable PSD increment.</w:t>
      </w:r>
      <w:r>
        <w:t xml:space="preserve">  </w:t>
      </w:r>
      <w:r>
        <w:rPr>
          <w:i/>
          <w:iCs/>
        </w:rPr>
        <w:t>Id.</w:t>
      </w:r>
      <w:r>
        <w:t xml:space="preserve">  </w:t>
      </w:r>
    </w:p>
  </w:footnote>
  <w:footnote w:id="181">
    <w:p w14:paraId="29BFF1EA" w14:textId="77777777" w:rsidR="00230D74" w:rsidRDefault="00230D74" w:rsidP="00230D74">
      <w:pPr>
        <w:pStyle w:val="FootnoteText"/>
      </w:pPr>
      <w:r>
        <w:rPr>
          <w:rStyle w:val="FootnoteReference"/>
        </w:rPr>
        <w:footnoteRef/>
      </w:r>
      <w:r>
        <w:t xml:space="preserve"> </w:t>
      </w:r>
      <w:r w:rsidR="00AB6F83">
        <w:t>Petitioners</w:t>
      </w:r>
      <w:r>
        <w:t xml:space="preserve"> Rehearing Request at 161 (citing final EIS at 4-373 </w:t>
      </w:r>
      <w:r w:rsidR="00A52A99">
        <w:t>to</w:t>
      </w:r>
      <w:r>
        <w:t xml:space="preserve"> 4-374, 4-548).  </w:t>
      </w:r>
    </w:p>
  </w:footnote>
  <w:footnote w:id="182">
    <w:p w14:paraId="43B06B69" w14:textId="77777777" w:rsidR="00230D74" w:rsidRDefault="00230D74" w:rsidP="00230D74">
      <w:pPr>
        <w:pStyle w:val="FootnoteText"/>
      </w:pPr>
      <w:r>
        <w:rPr>
          <w:rStyle w:val="FootnoteReference"/>
        </w:rPr>
        <w:footnoteRef/>
      </w:r>
      <w:r>
        <w:t xml:space="preserve"> </w:t>
      </w:r>
      <w:r>
        <w:rPr>
          <w:i/>
          <w:iCs/>
        </w:rPr>
        <w:t>Id.</w:t>
      </w:r>
      <w:r>
        <w:t xml:space="preserve"> </w:t>
      </w:r>
    </w:p>
  </w:footnote>
  <w:footnote w:id="183">
    <w:p w14:paraId="621566F8" w14:textId="77777777" w:rsidR="00230D74" w:rsidRDefault="00230D74" w:rsidP="00230D74">
      <w:pPr>
        <w:pStyle w:val="FootnoteText"/>
      </w:pPr>
      <w:r>
        <w:rPr>
          <w:rStyle w:val="FootnoteReference"/>
        </w:rPr>
        <w:footnoteRef/>
      </w:r>
      <w:r>
        <w:t xml:space="preserve"> </w:t>
      </w:r>
      <w:r>
        <w:rPr>
          <w:i/>
          <w:iCs/>
        </w:rPr>
        <w:t>Id.</w:t>
      </w:r>
      <w:r>
        <w:t xml:space="preserve"> </w:t>
      </w:r>
    </w:p>
  </w:footnote>
  <w:footnote w:id="184">
    <w:p w14:paraId="6A1C3167" w14:textId="77777777" w:rsidR="001276F4" w:rsidRDefault="001276F4" w:rsidP="001276F4">
      <w:pPr>
        <w:pStyle w:val="FootnoteText"/>
      </w:pPr>
      <w:r>
        <w:rPr>
          <w:rStyle w:val="FootnoteReference"/>
        </w:rPr>
        <w:footnoteRef/>
      </w:r>
      <w:r>
        <w:t xml:space="preserve"> </w:t>
      </w:r>
      <w:r w:rsidRPr="005D05E1">
        <w:rPr>
          <w:i/>
          <w:iCs/>
        </w:rPr>
        <w:t>See</w:t>
      </w:r>
      <w:r>
        <w:t xml:space="preserve"> </w:t>
      </w:r>
      <w:r w:rsidRPr="002E0E0A">
        <w:rPr>
          <w:i/>
        </w:rPr>
        <w:t>Healthy Gulf</w:t>
      </w:r>
      <w:r w:rsidRPr="002E0E0A">
        <w:t xml:space="preserve">, </w:t>
      </w:r>
      <w:r w:rsidRPr="009C54A1">
        <w:t xml:space="preserve">107 F.4th </w:t>
      </w:r>
      <w:r>
        <w:t xml:space="preserve">at </w:t>
      </w:r>
      <w:r w:rsidRPr="009C54A1">
        <w:t>1</w:t>
      </w:r>
      <w:r>
        <w:t>043 (</w:t>
      </w:r>
      <w:r w:rsidRPr="00510325">
        <w:t>EPA</w:t>
      </w:r>
      <w:r>
        <w:t xml:space="preserve">’s </w:t>
      </w:r>
      <w:r w:rsidRPr="00510325">
        <w:t>NAAQS</w:t>
      </w:r>
      <w:r>
        <w:t xml:space="preserve"> </w:t>
      </w:r>
      <w:r w:rsidRPr="00510325">
        <w:t>set the level “requisite to protect the public health” while “allowing an adequate margin of safety”</w:t>
      </w:r>
      <w:r>
        <w:t xml:space="preserve">) (quoting </w:t>
      </w:r>
      <w:r w:rsidR="00C218AB">
        <w:t xml:space="preserve">              </w:t>
      </w:r>
      <w:r w:rsidRPr="00F30DD9">
        <w:t>42 U.S.C. § 740</w:t>
      </w:r>
      <w:r>
        <w:t>9</w:t>
      </w:r>
      <w:r w:rsidRPr="00F30DD9">
        <w:t>(</w:t>
      </w:r>
      <w:r>
        <w:t>b</w:t>
      </w:r>
      <w:r w:rsidRPr="00F30DD9">
        <w:t>)(1)</w:t>
      </w:r>
      <w:r>
        <w:t xml:space="preserve">); </w:t>
      </w:r>
      <w:r w:rsidRPr="00696BC6">
        <w:rPr>
          <w:i/>
          <w:iCs/>
        </w:rPr>
        <w:t>Transcon. Gas Pipe Line Co.</w:t>
      </w:r>
      <w:r w:rsidRPr="009919EF">
        <w:t>, 187 FERC ¶ 61,024</w:t>
      </w:r>
      <w:r>
        <w:t xml:space="preserve"> at P</w:t>
      </w:r>
      <w:r w:rsidR="00FA525E">
        <w:t> </w:t>
      </w:r>
      <w:r>
        <w:t xml:space="preserve">74; </w:t>
      </w:r>
      <w:r w:rsidRPr="00CB7A84">
        <w:rPr>
          <w:i/>
          <w:iCs/>
        </w:rPr>
        <w:t>EMR Network</w:t>
      </w:r>
      <w:r w:rsidRPr="00696BC6">
        <w:t xml:space="preserve">, 391 F.3d </w:t>
      </w:r>
      <w:r w:rsidR="009014F1">
        <w:t>at 273</w:t>
      </w:r>
      <w:r w:rsidRPr="00696BC6">
        <w:t xml:space="preserve"> </w:t>
      </w:r>
      <w:r w:rsidRPr="005E1201">
        <w:t>(finding agency properly relied outside agency expertise)</w:t>
      </w:r>
      <w:r w:rsidR="00DB0986">
        <w:t xml:space="preserve">; </w:t>
      </w:r>
      <w:r w:rsidR="00DB0986" w:rsidRPr="005F46EB">
        <w:rPr>
          <w:i/>
          <w:iCs/>
        </w:rPr>
        <w:t>see Sierra Club v. La. Dep’t of Env’t Quality</w:t>
      </w:r>
      <w:r w:rsidR="00DB0986" w:rsidRPr="005F46EB">
        <w:t>, 100 F.4th 555, 567-68 (5th Cir. 2024) (</w:t>
      </w:r>
      <w:r w:rsidR="00DB0986">
        <w:t xml:space="preserve">affirming </w:t>
      </w:r>
      <w:r w:rsidR="00DB0986" w:rsidRPr="005F46EB">
        <w:t xml:space="preserve">the use of SILs in </w:t>
      </w:r>
      <w:r w:rsidR="00DB0986">
        <w:t>cause and contribute</w:t>
      </w:r>
      <w:r w:rsidR="00DB0986" w:rsidRPr="005F46EB">
        <w:t xml:space="preserve"> analyses)</w:t>
      </w:r>
      <w:r w:rsidR="00DB0986">
        <w:t xml:space="preserve">; </w:t>
      </w:r>
      <w:r w:rsidR="00DB0986">
        <w:rPr>
          <w:i/>
          <w:iCs/>
        </w:rPr>
        <w:t>see also</w:t>
      </w:r>
      <w:r w:rsidR="00DB0986">
        <w:t xml:space="preserve"> Venture Global Rehearing Request at 32 (citing to </w:t>
      </w:r>
      <w:r w:rsidR="00DB0986" w:rsidRPr="009757CA">
        <w:rPr>
          <w:i/>
          <w:iCs/>
        </w:rPr>
        <w:t>Sierra Club v. La. Dep’t of Env’t Quality</w:t>
      </w:r>
      <w:r w:rsidR="00DB0986">
        <w:t xml:space="preserve">, </w:t>
      </w:r>
      <w:r w:rsidR="00DB0986" w:rsidRPr="009757CA">
        <w:t>100 F.4th 555</w:t>
      </w:r>
      <w:r w:rsidR="00DB0986">
        <w:t xml:space="preserve"> and asserting that circuit courts have upheld the use of SILs in cause and contribute analyses).  </w:t>
      </w:r>
    </w:p>
  </w:footnote>
  <w:footnote w:id="185">
    <w:p w14:paraId="56A0192E" w14:textId="77777777" w:rsidR="00061B0D" w:rsidRDefault="00061B0D" w:rsidP="00061B0D">
      <w:pPr>
        <w:pStyle w:val="FootnoteText"/>
      </w:pPr>
      <w:r>
        <w:rPr>
          <w:rStyle w:val="FootnoteReference"/>
        </w:rPr>
        <w:footnoteRef/>
      </w:r>
      <w:r>
        <w:t xml:space="preserve"> </w:t>
      </w:r>
      <w:r w:rsidRPr="000966D9">
        <w:t xml:space="preserve">The PSD increments were established to prevent air quality in clean areas, or attainment areas, from deteriorating to the level set by the NAAQS.  Because the PSD increments established in 42 U.S.C. § 7473 and § 7476 and promulgated by EPA in </w:t>
      </w:r>
      <w:r w:rsidR="005A77D9">
        <w:t xml:space="preserve">             </w:t>
      </w:r>
      <w:r w:rsidRPr="000966D9">
        <w:t xml:space="preserve">40 C.F.R. § 51.66(c)(1) were intended to consider clean air values while simultaneously allowing economic development in all but class I areas, the increments should not be used as a metric to measure impacts on human health.  </w:t>
      </w:r>
      <w:r w:rsidRPr="000966D9">
        <w:rPr>
          <w:i/>
          <w:iCs/>
        </w:rPr>
        <w:t>See, e.g.</w:t>
      </w:r>
      <w:r w:rsidR="00BC1054">
        <w:t>,</w:t>
      </w:r>
      <w:r w:rsidR="00000291" w:rsidRPr="00803703">
        <w:t xml:space="preserve"> </w:t>
      </w:r>
      <w:r w:rsidR="00BC1054">
        <w:t xml:space="preserve">EPA, </w:t>
      </w:r>
      <w:r w:rsidR="00C742A3" w:rsidRPr="003412BD">
        <w:rPr>
          <w:i/>
          <w:iCs/>
        </w:rPr>
        <w:t>Prevention of Significant Air Quality Deterioration</w:t>
      </w:r>
      <w:r w:rsidR="00C742A3" w:rsidRPr="003412BD">
        <w:t xml:space="preserve">, Final Rule, </w:t>
      </w:r>
      <w:r w:rsidRPr="003412BD">
        <w:t>39 Fed. Reg. 42</w:t>
      </w:r>
      <w:r w:rsidR="00C742A3" w:rsidRPr="003412BD">
        <w:t>,</w:t>
      </w:r>
      <w:r w:rsidRPr="003412BD">
        <w:t>510, 42</w:t>
      </w:r>
      <w:r w:rsidR="00C742A3" w:rsidRPr="003412BD">
        <w:t>,</w:t>
      </w:r>
      <w:r w:rsidRPr="003412BD">
        <w:t>510 (Dec. 5, 1974) (“The Administrator continues to feel that a Class II increment should be compatible with moderate, well-controlled development in a nationwide context, and that large-scale development should be permitted only in conjunction with a conscious decision to redesignate the area as Class III.”).</w:t>
      </w:r>
      <w:r>
        <w:t xml:space="preserve">  </w:t>
      </w:r>
    </w:p>
  </w:footnote>
  <w:footnote w:id="186">
    <w:p w14:paraId="56F2CE9B" w14:textId="77777777" w:rsidR="001276F4" w:rsidRDefault="001276F4" w:rsidP="001276F4">
      <w:pPr>
        <w:pStyle w:val="FootnoteText"/>
      </w:pPr>
      <w:r>
        <w:rPr>
          <w:rStyle w:val="FootnoteReference"/>
        </w:rPr>
        <w:footnoteRef/>
      </w:r>
      <w:r>
        <w:t xml:space="preserve"> </w:t>
      </w:r>
      <w:r w:rsidRPr="00BE2C48">
        <w:rPr>
          <w:i/>
          <w:iCs/>
        </w:rPr>
        <w:t xml:space="preserve">Alaska Dep’t of Env’t Conservation v. </w:t>
      </w:r>
      <w:r>
        <w:rPr>
          <w:i/>
          <w:iCs/>
        </w:rPr>
        <w:t>EPA</w:t>
      </w:r>
      <w:r w:rsidRPr="00BE2C48">
        <w:t>, 540 U.S. 461, 470 (2004)</w:t>
      </w:r>
      <w:r>
        <w:t>.</w:t>
      </w:r>
    </w:p>
  </w:footnote>
  <w:footnote w:id="187">
    <w:p w14:paraId="3BECE26E" w14:textId="77777777" w:rsidR="001276F4" w:rsidRPr="006F2B0C" w:rsidRDefault="001276F4" w:rsidP="001276F4">
      <w:pPr>
        <w:pStyle w:val="FootnoteText"/>
        <w:rPr>
          <w:szCs w:val="26"/>
        </w:rPr>
      </w:pPr>
      <w:r w:rsidRPr="006F2B0C">
        <w:rPr>
          <w:rStyle w:val="FootnoteReference"/>
          <w:szCs w:val="26"/>
        </w:rPr>
        <w:footnoteRef/>
      </w:r>
      <w:r w:rsidRPr="006F2B0C">
        <w:rPr>
          <w:szCs w:val="26"/>
        </w:rPr>
        <w:t xml:space="preserve"> </w:t>
      </w:r>
      <w:r w:rsidRPr="00B90C7F">
        <w:rPr>
          <w:szCs w:val="26"/>
        </w:rPr>
        <w:t xml:space="preserve">NAAQS are limits on the atmospheric concentration of criteria pollutants that are harmful to public health and the environment.  </w:t>
      </w:r>
      <w:r w:rsidRPr="00B90C7F">
        <w:rPr>
          <w:i/>
          <w:iCs/>
          <w:szCs w:val="26"/>
        </w:rPr>
        <w:t>See</w:t>
      </w:r>
      <w:r>
        <w:rPr>
          <w:szCs w:val="26"/>
        </w:rPr>
        <w:t xml:space="preserve"> </w:t>
      </w:r>
      <w:r w:rsidRPr="006F2B0C">
        <w:rPr>
          <w:szCs w:val="26"/>
        </w:rPr>
        <w:t>42 U.S.C. §</w:t>
      </w:r>
      <w:r>
        <w:rPr>
          <w:szCs w:val="26"/>
        </w:rPr>
        <w:t> </w:t>
      </w:r>
      <w:r w:rsidRPr="006F2B0C">
        <w:rPr>
          <w:szCs w:val="26"/>
        </w:rPr>
        <w:t>7409</w:t>
      </w:r>
      <w:r>
        <w:rPr>
          <w:szCs w:val="26"/>
        </w:rPr>
        <w:t xml:space="preserve">; </w:t>
      </w:r>
      <w:r>
        <w:t xml:space="preserve">final EIS </w:t>
      </w:r>
      <w:r w:rsidR="005A77D9">
        <w:t xml:space="preserve">                     </w:t>
      </w:r>
      <w:r>
        <w:t xml:space="preserve">at 4-335 </w:t>
      </w:r>
      <w:r w:rsidR="00F77B79">
        <w:t>to</w:t>
      </w:r>
      <w:r>
        <w:t xml:space="preserve"> 4-336</w:t>
      </w:r>
      <w:r w:rsidRPr="006F2B0C">
        <w:rPr>
          <w:szCs w:val="26"/>
        </w:rPr>
        <w:t>.</w:t>
      </w:r>
    </w:p>
  </w:footnote>
  <w:footnote w:id="188">
    <w:p w14:paraId="09B772CD" w14:textId="77777777" w:rsidR="007F528F" w:rsidRDefault="007F528F">
      <w:pPr>
        <w:pStyle w:val="FootnoteText"/>
      </w:pPr>
      <w:r>
        <w:rPr>
          <w:rStyle w:val="FootnoteReference"/>
        </w:rPr>
        <w:footnoteRef/>
      </w:r>
      <w:r>
        <w:t xml:space="preserve"> Final supplemental EIS at </w:t>
      </w:r>
      <w:r w:rsidR="00184802">
        <w:t>14</w:t>
      </w:r>
      <w:r w:rsidR="0035017B">
        <w:t xml:space="preserve">. </w:t>
      </w:r>
    </w:p>
  </w:footnote>
  <w:footnote w:id="189">
    <w:p w14:paraId="5DBBD7F8" w14:textId="77777777" w:rsidR="007F528F" w:rsidRDefault="007F528F">
      <w:pPr>
        <w:pStyle w:val="FootnoteText"/>
      </w:pPr>
      <w:r>
        <w:rPr>
          <w:rStyle w:val="FootnoteReference"/>
        </w:rPr>
        <w:footnoteRef/>
      </w:r>
      <w:r>
        <w:t xml:space="preserve"> </w:t>
      </w:r>
      <w:r w:rsidR="0035017B">
        <w:rPr>
          <w:i/>
          <w:iCs/>
        </w:rPr>
        <w:t>Id.</w:t>
      </w:r>
    </w:p>
  </w:footnote>
  <w:footnote w:id="190">
    <w:p w14:paraId="0A593976" w14:textId="77777777" w:rsidR="007F528F" w:rsidRDefault="007F528F">
      <w:pPr>
        <w:pStyle w:val="FootnoteText"/>
      </w:pPr>
      <w:r>
        <w:rPr>
          <w:rStyle w:val="FootnoteReference"/>
        </w:rPr>
        <w:footnoteRef/>
      </w:r>
      <w:r>
        <w:t xml:space="preserve"> </w:t>
      </w:r>
      <w:r w:rsidR="00912A0D">
        <w:rPr>
          <w:i/>
          <w:iCs/>
        </w:rPr>
        <w:t>Id.</w:t>
      </w:r>
      <w:r>
        <w:rPr>
          <w:i/>
        </w:rPr>
        <w:t xml:space="preserve"> </w:t>
      </w:r>
    </w:p>
  </w:footnote>
  <w:footnote w:id="191">
    <w:p w14:paraId="1BFE1AB8" w14:textId="77777777" w:rsidR="00CB4F8B" w:rsidRPr="00977AB8" w:rsidRDefault="00CB4F8B" w:rsidP="00CB4F8B">
      <w:pPr>
        <w:pStyle w:val="FootnoteText"/>
      </w:pPr>
      <w:r>
        <w:rPr>
          <w:rStyle w:val="FootnoteReference"/>
        </w:rPr>
        <w:footnoteRef/>
      </w:r>
      <w:r>
        <w:t xml:space="preserve"> </w:t>
      </w:r>
      <w:r>
        <w:rPr>
          <w:i/>
          <w:iCs/>
        </w:rPr>
        <w:t>See supra</w:t>
      </w:r>
      <w:r>
        <w:t xml:space="preserve"> </w:t>
      </w:r>
      <w:r w:rsidR="00EC7528" w:rsidRPr="00EE1442">
        <w:t>section I.B.1</w:t>
      </w:r>
      <w:r w:rsidRPr="00EE1442">
        <w:t>.</w:t>
      </w:r>
      <w:r>
        <w:t xml:space="preserve">  </w:t>
      </w:r>
    </w:p>
  </w:footnote>
  <w:footnote w:id="192">
    <w:p w14:paraId="7E53B6D1" w14:textId="77777777" w:rsidR="00597234" w:rsidRDefault="00597234">
      <w:pPr>
        <w:pStyle w:val="FootnoteText"/>
      </w:pPr>
      <w:r>
        <w:rPr>
          <w:rStyle w:val="FootnoteReference"/>
        </w:rPr>
        <w:footnoteRef/>
      </w:r>
      <w:r>
        <w:t xml:space="preserve"> Final supplemental EIS at </w:t>
      </w:r>
      <w:r w:rsidR="0035446B">
        <w:t>13</w:t>
      </w:r>
      <w:r w:rsidR="00912A0D">
        <w:t>.</w:t>
      </w:r>
    </w:p>
  </w:footnote>
  <w:footnote w:id="193">
    <w:p w14:paraId="6C99760C" w14:textId="77777777" w:rsidR="00912730" w:rsidRDefault="00912730">
      <w:pPr>
        <w:pStyle w:val="FootnoteText"/>
      </w:pPr>
      <w:r>
        <w:rPr>
          <w:rStyle w:val="FootnoteReference"/>
        </w:rPr>
        <w:footnoteRef/>
      </w:r>
      <w:r w:rsidR="00654394">
        <w:t xml:space="preserve"> </w:t>
      </w:r>
      <w:r w:rsidR="00654394">
        <w:rPr>
          <w:i/>
          <w:iCs/>
        </w:rPr>
        <w:t>See supra</w:t>
      </w:r>
      <w:r w:rsidR="00023387">
        <w:t xml:space="preserve"> </w:t>
      </w:r>
      <w:r w:rsidR="00F20DDE" w:rsidRPr="00163BE5">
        <w:t xml:space="preserve">P 43 &amp; </w:t>
      </w:r>
      <w:r w:rsidR="00243ED7">
        <w:t>notes</w:t>
      </w:r>
      <w:r w:rsidR="00023387" w:rsidRPr="00163BE5">
        <w:t xml:space="preserve"> </w:t>
      </w:r>
      <w:r w:rsidR="0086060A">
        <w:t>164</w:t>
      </w:r>
      <w:r w:rsidR="00F15B58" w:rsidRPr="00163BE5">
        <w:t>-</w:t>
      </w:r>
      <w:r w:rsidR="0086060A">
        <w:t>165</w:t>
      </w:r>
      <w:r w:rsidR="00023387">
        <w:t>.</w:t>
      </w:r>
    </w:p>
  </w:footnote>
  <w:footnote w:id="194">
    <w:p w14:paraId="56528998" w14:textId="77777777" w:rsidR="007A3C5C" w:rsidRDefault="007A3C5C">
      <w:pPr>
        <w:pStyle w:val="FootnoteText"/>
      </w:pPr>
      <w:r>
        <w:rPr>
          <w:rStyle w:val="FootnoteReference"/>
        </w:rPr>
        <w:footnoteRef/>
      </w:r>
      <w:r>
        <w:t xml:space="preserve"> Final supplemental EIS at </w:t>
      </w:r>
      <w:r w:rsidR="005930C4">
        <w:t>15-17</w:t>
      </w:r>
      <w:r w:rsidR="003C2AC1">
        <w:t xml:space="preserve">.  </w:t>
      </w:r>
    </w:p>
  </w:footnote>
  <w:footnote w:id="195">
    <w:p w14:paraId="377560F7" w14:textId="77777777" w:rsidR="003C4456" w:rsidRDefault="003C4456">
      <w:pPr>
        <w:pStyle w:val="FootnoteText"/>
      </w:pPr>
      <w:r>
        <w:rPr>
          <w:rStyle w:val="FootnoteReference"/>
        </w:rPr>
        <w:footnoteRef/>
      </w:r>
      <w:r>
        <w:t xml:space="preserve"> </w:t>
      </w:r>
      <w:r w:rsidR="0080315F">
        <w:rPr>
          <w:i/>
          <w:iCs/>
        </w:rPr>
        <w:t>Id.</w:t>
      </w:r>
      <w:r>
        <w:rPr>
          <w:i/>
        </w:rPr>
        <w:t xml:space="preserve"> </w:t>
      </w:r>
      <w:r>
        <w:t xml:space="preserve">at </w:t>
      </w:r>
      <w:r w:rsidR="0091125B">
        <w:t>16-17</w:t>
      </w:r>
      <w:r w:rsidR="0080315F">
        <w:t xml:space="preserve"> </w:t>
      </w:r>
      <w:r>
        <w:t>(“</w:t>
      </w:r>
      <w:r w:rsidR="00FA07F9" w:rsidRPr="00FA07F9">
        <w:t>The EPA has indicated that facility emission impacts below the SILs would not cause ambient air quality impacts that would cause or contribute to exceedances of the NAAQS</w:t>
      </w:r>
      <w:r w:rsidR="00FA07F9">
        <w:t xml:space="preserve">.”).  </w:t>
      </w:r>
    </w:p>
  </w:footnote>
  <w:footnote w:id="196">
    <w:p w14:paraId="2D15A7EB" w14:textId="77777777" w:rsidR="00863104" w:rsidRDefault="00863104" w:rsidP="005A77D9">
      <w:pPr>
        <w:pStyle w:val="FootnoteText"/>
        <w:widowControl/>
      </w:pPr>
      <w:r>
        <w:rPr>
          <w:rStyle w:val="FootnoteReference"/>
        </w:rPr>
        <w:footnoteRef/>
      </w:r>
      <w:r>
        <w:t xml:space="preserve"> Final supplemental EIS at </w:t>
      </w:r>
      <w:r w:rsidR="005B1771">
        <w:t xml:space="preserve">16 </w:t>
      </w:r>
      <w:r w:rsidR="00F40FC8">
        <w:t xml:space="preserve">(citing </w:t>
      </w:r>
      <w:r w:rsidR="008D26E7" w:rsidRPr="008D26E7">
        <w:t>40 C</w:t>
      </w:r>
      <w:r w:rsidR="007D16B2">
        <w:t>.</w:t>
      </w:r>
      <w:r w:rsidR="008D26E7" w:rsidRPr="008D26E7">
        <w:t>F</w:t>
      </w:r>
      <w:r w:rsidR="007D16B2">
        <w:t>.</w:t>
      </w:r>
      <w:r w:rsidR="008D26E7" w:rsidRPr="008D26E7">
        <w:t>R</w:t>
      </w:r>
      <w:r w:rsidR="007D16B2">
        <w:t>.</w:t>
      </w:r>
      <w:r w:rsidR="008D26E7" w:rsidRPr="008D26E7">
        <w:t xml:space="preserve"> </w:t>
      </w:r>
      <w:r w:rsidR="00F77B79">
        <w:t>pt.</w:t>
      </w:r>
      <w:r w:rsidR="008D26E7" w:rsidRPr="008D26E7">
        <w:t xml:space="preserve"> 51</w:t>
      </w:r>
      <w:r w:rsidR="00F77B79">
        <w:t>, app. W</w:t>
      </w:r>
      <w:r w:rsidR="008D26E7">
        <w:t>)</w:t>
      </w:r>
      <w:r w:rsidR="00083BAE">
        <w:t>;</w:t>
      </w:r>
      <w:r w:rsidR="0073652A" w:rsidRPr="002C181B">
        <w:rPr>
          <w:rFonts w:eastAsia="Times New Roman"/>
          <w:color w:val="000000"/>
          <w:sz w:val="24"/>
          <w:szCs w:val="24"/>
        </w:rPr>
        <w:t xml:space="preserve"> </w:t>
      </w:r>
      <w:r w:rsidR="0073652A" w:rsidRPr="005D1983">
        <w:rPr>
          <w:i/>
          <w:iCs/>
        </w:rPr>
        <w:t>Tex</w:t>
      </w:r>
      <w:r w:rsidR="0073652A">
        <w:rPr>
          <w:i/>
          <w:iCs/>
        </w:rPr>
        <w:t>.</w:t>
      </w:r>
      <w:r w:rsidR="0073652A" w:rsidRPr="005D1983">
        <w:rPr>
          <w:i/>
          <w:iCs/>
        </w:rPr>
        <w:t xml:space="preserve"> E. Transmission, LP</w:t>
      </w:r>
      <w:r w:rsidR="0073652A" w:rsidRPr="0073652A">
        <w:t>, 184 FERC ¶ 61,187</w:t>
      </w:r>
      <w:r w:rsidR="0073652A">
        <w:t>, at P 59</w:t>
      </w:r>
      <w:r w:rsidR="0073652A" w:rsidRPr="0073652A">
        <w:t xml:space="preserve"> (2023)</w:t>
      </w:r>
      <w:r w:rsidR="0073652A">
        <w:t xml:space="preserve"> (explaining that where </w:t>
      </w:r>
      <w:r w:rsidR="008102A0">
        <w:t>modeling showed that</w:t>
      </w:r>
      <w:r w:rsidR="008102A0" w:rsidRPr="008102A0">
        <w:t xml:space="preserve"> ground-level concentrations of criteria pollutants would be below the SIL </w:t>
      </w:r>
      <w:r w:rsidR="008102A0">
        <w:t xml:space="preserve">emissions would </w:t>
      </w:r>
      <w:r w:rsidR="008102A0" w:rsidRPr="008102A0">
        <w:t xml:space="preserve">not cause or contribute to an exceedance of the NAAQS or </w:t>
      </w:r>
      <w:r w:rsidR="008102A0">
        <w:t>PSD</w:t>
      </w:r>
      <w:r w:rsidR="008102A0" w:rsidRPr="008102A0">
        <w:t xml:space="preserve"> increments</w:t>
      </w:r>
      <w:r w:rsidR="00F52157">
        <w:t>);</w:t>
      </w:r>
      <w:r w:rsidR="008102A0">
        <w:t xml:space="preserve"> </w:t>
      </w:r>
      <w:r w:rsidR="00125D2D" w:rsidRPr="005D1983">
        <w:rPr>
          <w:i/>
          <w:iCs/>
        </w:rPr>
        <w:t>Golden Pass Pipeline LLC</w:t>
      </w:r>
      <w:r w:rsidR="00125D2D" w:rsidRPr="00125D2D">
        <w:t>, 181 FERC ¶ 61,050</w:t>
      </w:r>
      <w:r w:rsidR="00125D2D">
        <w:t>, at n.77</w:t>
      </w:r>
      <w:r w:rsidR="00125D2D" w:rsidRPr="00125D2D">
        <w:t xml:space="preserve"> (2022)</w:t>
      </w:r>
      <w:r>
        <w:t xml:space="preserve"> </w:t>
      </w:r>
      <w:r w:rsidR="00125D2D">
        <w:t>(</w:t>
      </w:r>
      <w:r w:rsidR="00F52157">
        <w:t xml:space="preserve">stating that </w:t>
      </w:r>
      <w:r w:rsidR="00FA6BEF">
        <w:t>“a</w:t>
      </w:r>
      <w:r w:rsidR="00F52157" w:rsidRPr="00F52157">
        <w:t xml:space="preserve"> modeled result predicting that a proposed source</w:t>
      </w:r>
      <w:r w:rsidR="00FA6BEF">
        <w:t>’</w:t>
      </w:r>
      <w:r w:rsidR="00F52157" w:rsidRPr="00F52157">
        <w:t xml:space="preserve">s maximum impact will be below the corresponding SIL value may generally be considered to be a sufficient demonstration that the proposed source will not cause or contribute to a violation of the applicable NAAQS or </w:t>
      </w:r>
      <w:r w:rsidR="00FA6BEF">
        <w:t>[PSD]</w:t>
      </w:r>
      <w:r w:rsidR="00F52157" w:rsidRPr="00F52157">
        <w:t xml:space="preserve"> increment</w:t>
      </w:r>
      <w:r w:rsidR="00FA6BEF">
        <w:t xml:space="preserve">”).  </w:t>
      </w:r>
    </w:p>
  </w:footnote>
  <w:footnote w:id="197">
    <w:p w14:paraId="32D7A116" w14:textId="77777777" w:rsidR="00B630A8" w:rsidRDefault="00B630A8">
      <w:pPr>
        <w:pStyle w:val="FootnoteText"/>
      </w:pPr>
      <w:r>
        <w:rPr>
          <w:rStyle w:val="FootnoteReference"/>
        </w:rPr>
        <w:footnoteRef/>
      </w:r>
      <w:r>
        <w:t xml:space="preserve"> Final supplemental EIS at </w:t>
      </w:r>
      <w:r w:rsidR="00CF7166">
        <w:t>17</w:t>
      </w:r>
      <w:r w:rsidR="00904D8D">
        <w:t xml:space="preserve">.  </w:t>
      </w:r>
    </w:p>
  </w:footnote>
  <w:footnote w:id="198">
    <w:p w14:paraId="154BA41C" w14:textId="77777777" w:rsidR="00532B44" w:rsidRPr="00A26279" w:rsidRDefault="00532B44">
      <w:pPr>
        <w:pStyle w:val="FootnoteText"/>
      </w:pPr>
      <w:r>
        <w:rPr>
          <w:rStyle w:val="FootnoteReference"/>
        </w:rPr>
        <w:footnoteRef/>
      </w:r>
      <w:r>
        <w:t xml:space="preserve"> </w:t>
      </w:r>
      <w:r w:rsidR="00A26279">
        <w:rPr>
          <w:i/>
          <w:iCs/>
        </w:rPr>
        <w:t>See supra</w:t>
      </w:r>
      <w:r w:rsidR="00A26279">
        <w:t xml:space="preserve"> </w:t>
      </w:r>
      <w:r w:rsidR="00A26279" w:rsidRPr="0005709C">
        <w:t xml:space="preserve">note </w:t>
      </w:r>
      <w:r w:rsidR="00085858">
        <w:t>122</w:t>
      </w:r>
      <w:r w:rsidR="000D1CD2">
        <w:t>.</w:t>
      </w:r>
    </w:p>
  </w:footnote>
  <w:footnote w:id="199">
    <w:p w14:paraId="11E374DB" w14:textId="77777777" w:rsidR="007B0884" w:rsidRDefault="007B0884">
      <w:pPr>
        <w:pStyle w:val="FootnoteText"/>
      </w:pPr>
      <w:r>
        <w:rPr>
          <w:rStyle w:val="FootnoteReference"/>
        </w:rPr>
        <w:footnoteRef/>
      </w:r>
      <w:r>
        <w:t xml:space="preserve"> </w:t>
      </w:r>
      <w:r w:rsidR="009A28E1" w:rsidRPr="0012073F">
        <w:t>Authorization Order, 187 FERC ¶ 61,199 at P</w:t>
      </w:r>
      <w:r w:rsidR="005A77D9">
        <w:t>P</w:t>
      </w:r>
      <w:r w:rsidR="009A28E1">
        <w:t xml:space="preserve"> 15</w:t>
      </w:r>
      <w:r w:rsidR="00B31742">
        <w:t>7-158</w:t>
      </w:r>
      <w:r w:rsidR="00460BB7">
        <w:t>, 183-</w:t>
      </w:r>
      <w:r w:rsidR="00854C8D">
        <w:t>189</w:t>
      </w:r>
      <w:r w:rsidR="009A28E1">
        <w:t>.</w:t>
      </w:r>
    </w:p>
  </w:footnote>
  <w:footnote w:id="200">
    <w:p w14:paraId="5E06AF40" w14:textId="77777777" w:rsidR="00893AE8" w:rsidRDefault="00893AE8">
      <w:pPr>
        <w:pStyle w:val="FootnoteText"/>
      </w:pPr>
      <w:r>
        <w:rPr>
          <w:rStyle w:val="FootnoteReference"/>
        </w:rPr>
        <w:footnoteRef/>
      </w:r>
      <w:r>
        <w:t xml:space="preserve"> Final supplemental EIS at </w:t>
      </w:r>
      <w:r w:rsidR="00CF7166">
        <w:t>17-19</w:t>
      </w:r>
      <w:r w:rsidR="00393071">
        <w:t xml:space="preserve">.  </w:t>
      </w:r>
    </w:p>
  </w:footnote>
  <w:footnote w:id="201">
    <w:p w14:paraId="417E2535" w14:textId="77777777" w:rsidR="00C378F5" w:rsidRDefault="00C378F5" w:rsidP="00C378F5">
      <w:pPr>
        <w:pStyle w:val="FootnoteText"/>
      </w:pPr>
      <w:r>
        <w:rPr>
          <w:rStyle w:val="FootnoteReference"/>
        </w:rPr>
        <w:footnoteRef/>
      </w:r>
      <w:r>
        <w:t xml:space="preserve"> Venture Global Dec. 23, 2024 Response to Data Request at 12; </w:t>
      </w:r>
      <w:r w:rsidR="00326F63">
        <w:t>f</w:t>
      </w:r>
      <w:r>
        <w:t xml:space="preserve">inal supplemental EIS at </w:t>
      </w:r>
      <w:r w:rsidR="00CF7166">
        <w:t>17-19</w:t>
      </w:r>
      <w:r w:rsidR="00A6557E">
        <w:t>.</w:t>
      </w:r>
    </w:p>
  </w:footnote>
  <w:footnote w:id="202">
    <w:p w14:paraId="1F663EDE" w14:textId="77777777" w:rsidR="00893AE8" w:rsidRPr="00626F2B" w:rsidRDefault="00893AE8">
      <w:pPr>
        <w:pStyle w:val="FootnoteText"/>
      </w:pPr>
      <w:r>
        <w:rPr>
          <w:rStyle w:val="FootnoteReference"/>
        </w:rPr>
        <w:footnoteRef/>
      </w:r>
      <w:r>
        <w:t xml:space="preserve"> Final supplemental EIS at </w:t>
      </w:r>
      <w:r w:rsidR="00B950D3">
        <w:t>18</w:t>
      </w:r>
      <w:r w:rsidR="009148CB">
        <w:t xml:space="preserve">; </w:t>
      </w:r>
      <w:r w:rsidR="00626F2B">
        <w:rPr>
          <w:i/>
          <w:iCs/>
        </w:rPr>
        <w:t>see also id.</w:t>
      </w:r>
      <w:r w:rsidR="00626F2B">
        <w:t xml:space="preserve"> at</w:t>
      </w:r>
      <w:r w:rsidR="00626F2B" w:rsidDel="009148CB">
        <w:t xml:space="preserve"> </w:t>
      </w:r>
      <w:r w:rsidR="009148CB">
        <w:t>n.</w:t>
      </w:r>
      <w:r w:rsidR="00B950D3">
        <w:t>43</w:t>
      </w:r>
      <w:r w:rsidR="00626F2B">
        <w:t xml:space="preserve"> (</w:t>
      </w:r>
      <w:r w:rsidR="00AF2047">
        <w:t>“</w:t>
      </w:r>
      <w:r w:rsidR="00AF2047" w:rsidRPr="00AF2047">
        <w:t xml:space="preserve">The background sources inventory included all sources within the area of impact plus 15 kilometers and all major sources within the area of impact plus 20 kilometers (in either case the area of impact would not extend beyond a 50 kilometer by 50 kilometer grid from the </w:t>
      </w:r>
      <w:r w:rsidR="00AF2047">
        <w:t>[CP2 LNG Project]</w:t>
      </w:r>
      <w:r w:rsidR="00AF2047" w:rsidRPr="00AF2047">
        <w:t xml:space="preserve"> due to the accuracy constraints of dispersion models</w:t>
      </w:r>
      <w:r w:rsidR="00AF2047">
        <w:t>).”</w:t>
      </w:r>
      <w:r w:rsidR="00AF2047" w:rsidRPr="00AF2047">
        <w:t>)</w:t>
      </w:r>
      <w:r w:rsidR="00D224B7">
        <w:t xml:space="preserve">; Venture Global </w:t>
      </w:r>
      <w:r w:rsidR="005A77D9">
        <w:t xml:space="preserve">              </w:t>
      </w:r>
      <w:r w:rsidR="00D224B7">
        <w:t xml:space="preserve">Dec. 23, 2024 Response to Data Request at 13.  </w:t>
      </w:r>
    </w:p>
  </w:footnote>
  <w:footnote w:id="203">
    <w:p w14:paraId="3086919B" w14:textId="77777777" w:rsidR="00A56635" w:rsidRDefault="00A56635" w:rsidP="00A56635">
      <w:pPr>
        <w:pStyle w:val="FootnoteText"/>
      </w:pPr>
      <w:r>
        <w:rPr>
          <w:rStyle w:val="FootnoteReference"/>
        </w:rPr>
        <w:footnoteRef/>
      </w:r>
      <w:r>
        <w:t xml:space="preserve"> Final EIS</w:t>
      </w:r>
      <w:r>
        <w:rPr>
          <w:i/>
          <w:iCs/>
        </w:rPr>
        <w:t xml:space="preserve"> </w:t>
      </w:r>
      <w:r>
        <w:t xml:space="preserve">at 4-296 to 4-301; Venture Global Dec. 23, 2024 Response to Data Request at 12-14.  </w:t>
      </w:r>
    </w:p>
  </w:footnote>
  <w:footnote w:id="204">
    <w:p w14:paraId="358CC1AC" w14:textId="77777777" w:rsidR="00A56635" w:rsidRPr="003D4D51" w:rsidRDefault="00A56635" w:rsidP="00A56635">
      <w:pPr>
        <w:pStyle w:val="FootnoteText"/>
      </w:pPr>
      <w:r>
        <w:rPr>
          <w:rStyle w:val="FootnoteReference"/>
        </w:rPr>
        <w:footnoteRef/>
      </w:r>
      <w:r>
        <w:t xml:space="preserve"> </w:t>
      </w:r>
      <w:r w:rsidRPr="00C32C06">
        <w:rPr>
          <w:i/>
        </w:rPr>
        <w:t>See</w:t>
      </w:r>
      <w:r>
        <w:t xml:space="preserve"> CP2 LN</w:t>
      </w:r>
      <w:r w:rsidR="00361F2F">
        <w:t>G</w:t>
      </w:r>
      <w:r>
        <w:t xml:space="preserve"> Aug</w:t>
      </w:r>
      <w:r w:rsidR="00361F2F">
        <w:t>.</w:t>
      </w:r>
      <w:r>
        <w:t xml:space="preserve"> 1, 2022 </w:t>
      </w:r>
      <w:r w:rsidRPr="00507D40">
        <w:rPr>
          <w:i/>
          <w:iCs/>
        </w:rPr>
        <w:t>Supplemental Response to Environmental Information Request No</w:t>
      </w:r>
      <w:r w:rsidR="00DD2FD6">
        <w:rPr>
          <w:i/>
          <w:iCs/>
        </w:rPr>
        <w:t>.</w:t>
      </w:r>
      <w:r w:rsidRPr="00507D40">
        <w:rPr>
          <w:i/>
          <w:iCs/>
        </w:rPr>
        <w:t xml:space="preserve"> 3</w:t>
      </w:r>
      <w:r w:rsidRPr="002B2A84">
        <w:t xml:space="preserve">, </w:t>
      </w:r>
      <w:r w:rsidR="00DD30E5">
        <w:t>app. E (listing</w:t>
      </w:r>
      <w:r w:rsidRPr="002B2A84">
        <w:t xml:space="preserve"> the</w:t>
      </w:r>
      <w:r>
        <w:t xml:space="preserve"> Louisiana</w:t>
      </w:r>
      <w:r w:rsidRPr="002B2A84">
        <w:t xml:space="preserve"> DEQ offsite sources</w:t>
      </w:r>
      <w:r w:rsidR="00DD30E5">
        <w:t>)</w:t>
      </w:r>
      <w:r w:rsidRPr="002B2A84">
        <w:t>.</w:t>
      </w:r>
      <w:r w:rsidR="003D4D51">
        <w:t xml:space="preserve">  </w:t>
      </w:r>
      <w:r w:rsidR="003D4D51">
        <w:rPr>
          <w:i/>
          <w:iCs/>
        </w:rPr>
        <w:t>See also</w:t>
      </w:r>
      <w:r w:rsidR="003D4D51">
        <w:t xml:space="preserve"> Venture Global Dec. 23, 2024 Response to Data Request at 11-14 (detailing the cumulative air quality modeling conducted for </w:t>
      </w:r>
      <w:r w:rsidR="00C378F5">
        <w:t xml:space="preserve">the CP2 LNG Project).  </w:t>
      </w:r>
    </w:p>
  </w:footnote>
  <w:footnote w:id="205">
    <w:p w14:paraId="73EEBF92" w14:textId="77777777" w:rsidR="000E366D" w:rsidRPr="00347227" w:rsidRDefault="000E366D" w:rsidP="00DF238C">
      <w:pPr>
        <w:pStyle w:val="FootnoteText"/>
      </w:pPr>
      <w:r>
        <w:rPr>
          <w:rStyle w:val="FootnoteReference"/>
        </w:rPr>
        <w:footnoteRef/>
      </w:r>
      <w:r>
        <w:t xml:space="preserve"> Final supplemental EIS at </w:t>
      </w:r>
      <w:r w:rsidR="00BB575A">
        <w:t>19</w:t>
      </w:r>
      <w:r w:rsidR="00C61D39">
        <w:t xml:space="preserve">.  </w:t>
      </w:r>
      <w:r w:rsidR="00477252" w:rsidRPr="00835A79">
        <w:t xml:space="preserve">Although we acknowledge </w:t>
      </w:r>
      <w:r w:rsidR="009A2329" w:rsidRPr="00835A79">
        <w:t>that the final EIS predicted NAAQS exceedances</w:t>
      </w:r>
      <w:r w:rsidR="00177195" w:rsidRPr="00835A79">
        <w:t xml:space="preserve"> for 1-hour NO</w:t>
      </w:r>
      <w:r w:rsidR="00177195" w:rsidRPr="00835A79">
        <w:rPr>
          <w:vertAlign w:val="subscript"/>
        </w:rPr>
        <w:t>2</w:t>
      </w:r>
      <w:r w:rsidR="009A2329" w:rsidRPr="00835A79">
        <w:t xml:space="preserve">, </w:t>
      </w:r>
      <w:r w:rsidR="00814FF9" w:rsidRPr="00835A79">
        <w:t xml:space="preserve">the </w:t>
      </w:r>
      <w:r w:rsidR="00A13381" w:rsidRPr="00835A79">
        <w:t>updated model</w:t>
      </w:r>
      <w:r w:rsidR="00840C2A" w:rsidRPr="00835A79">
        <w:t>’s</w:t>
      </w:r>
      <w:r w:rsidR="00177195" w:rsidRPr="00835A79">
        <w:t xml:space="preserve"> </w:t>
      </w:r>
      <w:r w:rsidR="00840C2A" w:rsidRPr="00835A79">
        <w:t>prediction of</w:t>
      </w:r>
      <w:r w:rsidR="00177195" w:rsidRPr="00835A79">
        <w:t xml:space="preserve"> no NAAQS exceedances </w:t>
      </w:r>
      <w:r w:rsidR="00840C2A" w:rsidRPr="00835A79">
        <w:t>is</w:t>
      </w:r>
      <w:r w:rsidR="00814FF9" w:rsidRPr="00835A79">
        <w:t xml:space="preserve"> largely </w:t>
      </w:r>
      <w:r w:rsidR="00494622" w:rsidRPr="00835A79">
        <w:t>due to changes in Louisiana’s emissions inventory</w:t>
      </w:r>
      <w:r w:rsidR="00077004" w:rsidRPr="00835A79">
        <w:t>, as well as refinements of emission rates and</w:t>
      </w:r>
      <w:r w:rsidR="00307CDC" w:rsidRPr="00835A79">
        <w:t xml:space="preserve"> sources</w:t>
      </w:r>
      <w:r w:rsidR="00814FF9" w:rsidRPr="00835A79">
        <w:t xml:space="preserve">.  </w:t>
      </w:r>
      <w:r w:rsidR="00347227" w:rsidRPr="00835A79">
        <w:rPr>
          <w:i/>
          <w:iCs/>
        </w:rPr>
        <w:t>See</w:t>
      </w:r>
      <w:r w:rsidR="00347227" w:rsidRPr="00835A79">
        <w:t xml:space="preserve"> Venture Global</w:t>
      </w:r>
      <w:r w:rsidR="002B213D" w:rsidRPr="00835A79">
        <w:t xml:space="preserve"> Dec. 23, 2024 Response to Data Request at </w:t>
      </w:r>
      <w:r w:rsidR="00847A52" w:rsidRPr="00835A79">
        <w:t xml:space="preserve">13 (stating that the </w:t>
      </w:r>
      <w:r w:rsidR="006264ED" w:rsidRPr="00835A79">
        <w:t>updated modeling used for th</w:t>
      </w:r>
      <w:r w:rsidR="00DD0025" w:rsidRPr="00835A79">
        <w:t>e supplemental EIS</w:t>
      </w:r>
      <w:r w:rsidR="001A2C57" w:rsidRPr="00835A79">
        <w:t xml:space="preserve"> “used </w:t>
      </w:r>
      <w:r w:rsidR="00DF238C" w:rsidRPr="00835A79">
        <w:t xml:space="preserve">the most recent validated air quality monitor data and the most recent emissions inventory revisions provided by the LDEQ for facilities within the [radius of impact]” as well as </w:t>
      </w:r>
      <w:r w:rsidR="006A6B26" w:rsidRPr="00835A79">
        <w:t>updated emissions</w:t>
      </w:r>
      <w:r w:rsidR="00383A36" w:rsidRPr="00835A79">
        <w:t xml:space="preserve"> fac</w:t>
      </w:r>
      <w:r w:rsidR="00A13381" w:rsidRPr="00835A79">
        <w:t>tors</w:t>
      </w:r>
      <w:r w:rsidR="00DF238C" w:rsidRPr="00835A79">
        <w:t>).</w:t>
      </w:r>
      <w:r w:rsidR="00DF238C">
        <w:t xml:space="preserve">  </w:t>
      </w:r>
    </w:p>
  </w:footnote>
  <w:footnote w:id="206">
    <w:p w14:paraId="293826F2" w14:textId="77777777" w:rsidR="00514159" w:rsidRDefault="00514159">
      <w:pPr>
        <w:pStyle w:val="FootnoteText"/>
      </w:pPr>
      <w:r>
        <w:rPr>
          <w:rStyle w:val="FootnoteReference"/>
        </w:rPr>
        <w:footnoteRef/>
      </w:r>
      <w:r w:rsidR="00C61D39">
        <w:t xml:space="preserve"> </w:t>
      </w:r>
      <w:r w:rsidR="00A14072">
        <w:t>Final supplemental EIS at 19.</w:t>
      </w:r>
    </w:p>
  </w:footnote>
  <w:footnote w:id="207">
    <w:p w14:paraId="6A3AE2C2" w14:textId="77777777" w:rsidR="00E92656" w:rsidRPr="00E92656" w:rsidRDefault="00E92656">
      <w:pPr>
        <w:pStyle w:val="FootnoteText"/>
      </w:pPr>
      <w:r>
        <w:rPr>
          <w:rStyle w:val="FootnoteReference"/>
        </w:rPr>
        <w:footnoteRef/>
      </w:r>
      <w:r>
        <w:t xml:space="preserve"> </w:t>
      </w:r>
      <w:r>
        <w:rPr>
          <w:i/>
          <w:iCs/>
        </w:rPr>
        <w:t xml:space="preserve">See supra </w:t>
      </w:r>
      <w:r w:rsidRPr="00106318">
        <w:t xml:space="preserve">note </w:t>
      </w:r>
      <w:r w:rsidR="00085858">
        <w:t>122</w:t>
      </w:r>
      <w:r>
        <w:t xml:space="preserve">.  </w:t>
      </w:r>
    </w:p>
  </w:footnote>
  <w:footnote w:id="208">
    <w:p w14:paraId="701A2C4D" w14:textId="77777777" w:rsidR="006865E5" w:rsidRPr="00483FDE" w:rsidRDefault="006865E5" w:rsidP="006865E5">
      <w:pPr>
        <w:pStyle w:val="FootnoteText"/>
      </w:pPr>
      <w:r>
        <w:rPr>
          <w:rStyle w:val="FootnoteReference"/>
        </w:rPr>
        <w:footnoteRef/>
      </w:r>
      <w:r>
        <w:t xml:space="preserve"> </w:t>
      </w:r>
      <w:r w:rsidR="00FA6CAC">
        <w:t>Petitioners</w:t>
      </w:r>
      <w:r>
        <w:t xml:space="preserve"> Rehearing Request at 141 (citing </w:t>
      </w:r>
      <w:r w:rsidRPr="002E0E0A">
        <w:rPr>
          <w:i/>
        </w:rPr>
        <w:t>Healthy Gulf</w:t>
      </w:r>
      <w:r w:rsidRPr="002E0E0A">
        <w:t xml:space="preserve">, </w:t>
      </w:r>
      <w:r w:rsidRPr="00B7630B">
        <w:t>107 F.4th 1033</w:t>
      </w:r>
      <w:r>
        <w:t xml:space="preserve"> and </w:t>
      </w:r>
      <w:r w:rsidRPr="007B5331">
        <w:t>40 C.F.R. §</w:t>
      </w:r>
      <w:r w:rsidR="00DD30E5">
        <w:t> </w:t>
      </w:r>
      <w:r w:rsidRPr="007B5331">
        <w:t>1508.1(i)(3)</w:t>
      </w:r>
      <w:r w:rsidR="00DD30E5">
        <w:t xml:space="preserve"> (2024</w:t>
      </w:r>
      <w:r w:rsidRPr="007B5331">
        <w:t>)</w:t>
      </w:r>
      <w:r>
        <w:t xml:space="preserve">); </w:t>
      </w:r>
      <w:r w:rsidRPr="002E0E0A">
        <w:rPr>
          <w:i/>
        </w:rPr>
        <w:t>id.</w:t>
      </w:r>
      <w:r w:rsidRPr="002E0E0A">
        <w:t xml:space="preserve"> (citing Authorization Order, 187 FERC ¶ 61,199 </w:t>
      </w:r>
      <w:r w:rsidR="005A77D9">
        <w:t xml:space="preserve">     </w:t>
      </w:r>
      <w:r w:rsidRPr="002E0E0A">
        <w:t>at P</w:t>
      </w:r>
      <w:r>
        <w:t>P</w:t>
      </w:r>
      <w:r w:rsidRPr="002E0E0A">
        <w:t xml:space="preserve"> 196-197)</w:t>
      </w:r>
      <w:r>
        <w:t xml:space="preserve">; </w:t>
      </w:r>
      <w:r>
        <w:rPr>
          <w:i/>
          <w:iCs/>
        </w:rPr>
        <w:t>id.</w:t>
      </w:r>
      <w:r>
        <w:t xml:space="preserve"> at 146.  </w:t>
      </w:r>
    </w:p>
  </w:footnote>
  <w:footnote w:id="209">
    <w:p w14:paraId="37228188" w14:textId="77777777" w:rsidR="006865E5" w:rsidRDefault="006865E5" w:rsidP="006865E5">
      <w:pPr>
        <w:pStyle w:val="FootnoteText"/>
      </w:pPr>
      <w:r>
        <w:rPr>
          <w:rStyle w:val="FootnoteReference"/>
        </w:rPr>
        <w:footnoteRef/>
      </w:r>
      <w:r>
        <w:t xml:space="preserve"> </w:t>
      </w:r>
      <w:r w:rsidR="00012FD5">
        <w:rPr>
          <w:i/>
          <w:iCs/>
        </w:rPr>
        <w:t>Id.</w:t>
      </w:r>
      <w:r>
        <w:t xml:space="preserve"> at 142; </w:t>
      </w:r>
      <w:r>
        <w:rPr>
          <w:i/>
          <w:iCs/>
        </w:rPr>
        <w:t xml:space="preserve">see </w:t>
      </w:r>
      <w:r w:rsidRPr="00FE68BB">
        <w:rPr>
          <w:i/>
          <w:iCs/>
        </w:rPr>
        <w:t>also</w:t>
      </w:r>
      <w:r>
        <w:rPr>
          <w:i/>
          <w:iCs/>
        </w:rPr>
        <w:t xml:space="preserve"> id.</w:t>
      </w:r>
      <w:r w:rsidRPr="00F744EF">
        <w:t xml:space="preserve"> </w:t>
      </w:r>
      <w:r>
        <w:t xml:space="preserve">at 143-44 (citing </w:t>
      </w:r>
      <w:r w:rsidRPr="0012073F">
        <w:t xml:space="preserve">Authorization Order, 187 FERC </w:t>
      </w:r>
      <w:r w:rsidR="005A77D9">
        <w:t xml:space="preserve">           </w:t>
      </w:r>
      <w:r w:rsidRPr="0012073F">
        <w:t>¶ 61,199 at P</w:t>
      </w:r>
      <w:r>
        <w:t xml:space="preserve"> 186) (</w:t>
      </w:r>
      <w:r w:rsidRPr="001E1265">
        <w:t>disagree</w:t>
      </w:r>
      <w:r>
        <w:t>ing</w:t>
      </w:r>
      <w:r w:rsidRPr="001E1265">
        <w:t xml:space="preserve"> with the Commission’s finding that it had no obligation to include mobile source emissions from other terminals because it would not change the analysis and argues that the Commission was required to take a hard look at cumulative effects</w:t>
      </w:r>
      <w:r>
        <w:t xml:space="preserve">).  </w:t>
      </w:r>
    </w:p>
  </w:footnote>
  <w:footnote w:id="210">
    <w:p w14:paraId="41D0061D" w14:textId="77777777" w:rsidR="006865E5" w:rsidRDefault="006865E5" w:rsidP="006865E5">
      <w:pPr>
        <w:pStyle w:val="FootnoteText"/>
      </w:pPr>
      <w:r>
        <w:rPr>
          <w:rStyle w:val="FootnoteReference"/>
        </w:rPr>
        <w:footnoteRef/>
      </w:r>
      <w:r>
        <w:t xml:space="preserve"> </w:t>
      </w:r>
      <w:r>
        <w:rPr>
          <w:i/>
          <w:iCs/>
        </w:rPr>
        <w:t>Id.</w:t>
      </w:r>
      <w:r>
        <w:t xml:space="preserve"> at 142 (citing </w:t>
      </w:r>
      <w:r w:rsidRPr="0012073F">
        <w:t>Authorization Order, 187 FERC ¶ 61,199 at P</w:t>
      </w:r>
      <w:r>
        <w:t xml:space="preserve">P 184-188).  </w:t>
      </w:r>
    </w:p>
  </w:footnote>
  <w:footnote w:id="211">
    <w:p w14:paraId="648759DA" w14:textId="77777777" w:rsidR="006865E5" w:rsidRDefault="006865E5" w:rsidP="006865E5">
      <w:pPr>
        <w:pStyle w:val="FootnoteText"/>
      </w:pPr>
      <w:r>
        <w:rPr>
          <w:rStyle w:val="FootnoteReference"/>
        </w:rPr>
        <w:footnoteRef/>
      </w:r>
      <w:r>
        <w:t xml:space="preserve"> </w:t>
      </w:r>
      <w:r>
        <w:rPr>
          <w:i/>
          <w:iCs/>
        </w:rPr>
        <w:t>Id.</w:t>
      </w:r>
      <w:r>
        <w:t xml:space="preserve"> at 142-43 (citing </w:t>
      </w:r>
      <w:r w:rsidRPr="000E7075">
        <w:rPr>
          <w:i/>
          <w:iCs/>
        </w:rPr>
        <w:t>Healthy Gulf</w:t>
      </w:r>
      <w:r w:rsidRPr="000E7075">
        <w:t xml:space="preserve">, </w:t>
      </w:r>
      <w:r w:rsidRPr="00B7630B">
        <w:t xml:space="preserve">107 F.4th </w:t>
      </w:r>
      <w:r>
        <w:t xml:space="preserve">at </w:t>
      </w:r>
      <w:r w:rsidRPr="00B7630B">
        <w:t>10</w:t>
      </w:r>
      <w:r>
        <w:t xml:space="preserve">43-44 and </w:t>
      </w:r>
      <w:r w:rsidRPr="000E7075">
        <w:rPr>
          <w:i/>
          <w:iCs/>
        </w:rPr>
        <w:t>Sabal Trail</w:t>
      </w:r>
      <w:r w:rsidRPr="000E7075">
        <w:t xml:space="preserve">, </w:t>
      </w:r>
      <w:r w:rsidR="005A77D9">
        <w:t xml:space="preserve">      </w:t>
      </w:r>
      <w:r w:rsidRPr="000E7075">
        <w:t xml:space="preserve">867 F.3d at 1375 (citing </w:t>
      </w:r>
      <w:r w:rsidRPr="000E7075">
        <w:rPr>
          <w:i/>
          <w:iCs/>
        </w:rPr>
        <w:t>Calvert Cliffs</w:t>
      </w:r>
      <w:r>
        <w:rPr>
          <w:i/>
          <w:iCs/>
        </w:rPr>
        <w:t>’</w:t>
      </w:r>
      <w:r w:rsidRPr="000E7075">
        <w:rPr>
          <w:i/>
          <w:iCs/>
        </w:rPr>
        <w:t xml:space="preserve"> Coord. Comm. v. Atomic Energy Comm</w:t>
      </w:r>
      <w:r>
        <w:rPr>
          <w:i/>
          <w:iCs/>
        </w:rPr>
        <w:t>’</w:t>
      </w:r>
      <w:r w:rsidRPr="000E7075">
        <w:rPr>
          <w:i/>
          <w:iCs/>
        </w:rPr>
        <w:t>n</w:t>
      </w:r>
      <w:r w:rsidRPr="000E7075">
        <w:t>,</w:t>
      </w:r>
      <w:r>
        <w:t xml:space="preserve"> </w:t>
      </w:r>
      <w:r w:rsidR="00E93D95">
        <w:t xml:space="preserve">       </w:t>
      </w:r>
      <w:r w:rsidRPr="000E7075">
        <w:t>449 F.2d 1109, 1122–23 (D.C. Cir. 1971)</w:t>
      </w:r>
      <w:r w:rsidR="000B0BA6">
        <w:t>)</w:t>
      </w:r>
      <w:r w:rsidRPr="000E7075">
        <w:t>)</w:t>
      </w:r>
      <w:r>
        <w:t>.</w:t>
      </w:r>
    </w:p>
  </w:footnote>
  <w:footnote w:id="212">
    <w:p w14:paraId="378EFFCD" w14:textId="77777777" w:rsidR="006865E5" w:rsidRDefault="006865E5" w:rsidP="006865E5">
      <w:pPr>
        <w:pStyle w:val="FootnoteText"/>
      </w:pPr>
      <w:r>
        <w:rPr>
          <w:rStyle w:val="FootnoteReference"/>
        </w:rPr>
        <w:footnoteRef/>
      </w:r>
      <w:r>
        <w:t xml:space="preserve"> </w:t>
      </w:r>
      <w:r>
        <w:rPr>
          <w:i/>
          <w:iCs/>
        </w:rPr>
        <w:t>Id.</w:t>
      </w:r>
      <w:r>
        <w:t xml:space="preserve"> at 143.</w:t>
      </w:r>
    </w:p>
  </w:footnote>
  <w:footnote w:id="213">
    <w:p w14:paraId="03F81BC4" w14:textId="77777777" w:rsidR="006865E5" w:rsidRDefault="006865E5" w:rsidP="006865E5">
      <w:pPr>
        <w:pStyle w:val="FootnoteText"/>
      </w:pPr>
      <w:r>
        <w:rPr>
          <w:rStyle w:val="FootnoteReference"/>
        </w:rPr>
        <w:footnoteRef/>
      </w:r>
      <w:r>
        <w:t xml:space="preserve"> </w:t>
      </w:r>
      <w:r>
        <w:rPr>
          <w:i/>
          <w:iCs/>
        </w:rPr>
        <w:t>Id.</w:t>
      </w:r>
      <w:r>
        <w:t xml:space="preserve"> (citing </w:t>
      </w:r>
      <w:r w:rsidRPr="0012073F">
        <w:t>Authorization Order, 187 FERC ¶ 61,199 at P</w:t>
      </w:r>
      <w:r>
        <w:t xml:space="preserve"> 193).</w:t>
      </w:r>
    </w:p>
  </w:footnote>
  <w:footnote w:id="214">
    <w:p w14:paraId="604DDBD5" w14:textId="77777777" w:rsidR="006865E5" w:rsidRDefault="006865E5" w:rsidP="006865E5">
      <w:pPr>
        <w:pStyle w:val="FootnoteText"/>
      </w:pPr>
      <w:r>
        <w:rPr>
          <w:rStyle w:val="FootnoteReference"/>
        </w:rPr>
        <w:footnoteRef/>
      </w:r>
      <w:r>
        <w:t xml:space="preserve"> </w:t>
      </w:r>
      <w:r>
        <w:rPr>
          <w:i/>
          <w:iCs/>
        </w:rPr>
        <w:t>Id.</w:t>
      </w:r>
      <w:r>
        <w:t xml:space="preserve"> (citing </w:t>
      </w:r>
      <w:r w:rsidRPr="00C17FD4">
        <w:rPr>
          <w:i/>
        </w:rPr>
        <w:t>Rio Grande LNG, LLC</w:t>
      </w:r>
      <w:r w:rsidRPr="00C17FD4">
        <w:t>, 169 FERC ¶ 61,131</w:t>
      </w:r>
      <w:r w:rsidR="00E52C52">
        <w:t xml:space="preserve"> (2019)</w:t>
      </w:r>
      <w:r w:rsidRPr="00C17FD4">
        <w:t>,</w:t>
      </w:r>
      <w:r w:rsidRPr="00C17FD4">
        <w:rPr>
          <w:i/>
          <w:iCs/>
        </w:rPr>
        <w:t xml:space="preserve"> order on reh’g</w:t>
      </w:r>
      <w:r w:rsidRPr="00C17FD4">
        <w:t>, 170 FERC ¶ 61,046</w:t>
      </w:r>
      <w:r w:rsidR="00E52C52">
        <w:t>,</w:t>
      </w:r>
      <w:r w:rsidRPr="00C17FD4">
        <w:t xml:space="preserve"> </w:t>
      </w:r>
      <w:r>
        <w:t>at P 55</w:t>
      </w:r>
      <w:r w:rsidR="00E52C52">
        <w:t xml:space="preserve"> (2020)</w:t>
      </w:r>
      <w:r>
        <w:t xml:space="preserve">); </w:t>
      </w:r>
      <w:r>
        <w:rPr>
          <w:i/>
          <w:iCs/>
        </w:rPr>
        <w:t>id.</w:t>
      </w:r>
      <w:r>
        <w:t xml:space="preserve"> at 144-46 (detailing, in a table, the NO</w:t>
      </w:r>
      <w:r w:rsidRPr="003E3B32">
        <w:rPr>
          <w:vertAlign w:val="subscript"/>
        </w:rPr>
        <w:t>X</w:t>
      </w:r>
      <w:r>
        <w:t xml:space="preserve"> emissions from mobile sources and comparing them as a percentage to stationary sources for nearby LNG facilities).</w:t>
      </w:r>
    </w:p>
  </w:footnote>
  <w:footnote w:id="215">
    <w:p w14:paraId="25F76BF9" w14:textId="77777777" w:rsidR="006865E5" w:rsidRDefault="006865E5" w:rsidP="006865E5">
      <w:pPr>
        <w:pStyle w:val="FootnoteText"/>
      </w:pPr>
      <w:r>
        <w:rPr>
          <w:rStyle w:val="FootnoteReference"/>
        </w:rPr>
        <w:footnoteRef/>
      </w:r>
      <w:r>
        <w:t xml:space="preserve"> </w:t>
      </w:r>
      <w:r>
        <w:rPr>
          <w:i/>
          <w:iCs/>
        </w:rPr>
        <w:t>Id.</w:t>
      </w:r>
      <w:r>
        <w:t xml:space="preserve"> at 144.  </w:t>
      </w:r>
    </w:p>
  </w:footnote>
  <w:footnote w:id="216">
    <w:p w14:paraId="1FF5F106" w14:textId="77777777" w:rsidR="006865E5" w:rsidRDefault="006865E5" w:rsidP="006865E5">
      <w:pPr>
        <w:pStyle w:val="FootnoteText"/>
      </w:pPr>
      <w:r>
        <w:rPr>
          <w:rStyle w:val="FootnoteReference"/>
        </w:rPr>
        <w:footnoteRef/>
      </w:r>
      <w:r>
        <w:t xml:space="preserve"> </w:t>
      </w:r>
      <w:r>
        <w:rPr>
          <w:i/>
          <w:iCs/>
        </w:rPr>
        <w:t>Id.</w:t>
      </w:r>
      <w:r>
        <w:t xml:space="preserve"> (citing final </w:t>
      </w:r>
      <w:r w:rsidRPr="002F4950">
        <w:t>EIS 4-369 to 4-370</w:t>
      </w:r>
      <w:r>
        <w:t xml:space="preserve"> and </w:t>
      </w:r>
      <w:r w:rsidRPr="0012073F">
        <w:t xml:space="preserve">Authorization Order, 187 FERC </w:t>
      </w:r>
      <w:r w:rsidR="005A77D9">
        <w:t xml:space="preserve">           </w:t>
      </w:r>
      <w:r w:rsidRPr="0012073F">
        <w:t>¶ 61,199 at P</w:t>
      </w:r>
      <w:r>
        <w:t xml:space="preserve"> 187).  </w:t>
      </w:r>
    </w:p>
  </w:footnote>
  <w:footnote w:id="217">
    <w:p w14:paraId="392C242F" w14:textId="77777777" w:rsidR="000A0A8B" w:rsidRDefault="000A0A8B" w:rsidP="000A0A8B">
      <w:pPr>
        <w:pStyle w:val="FootnoteText"/>
      </w:pPr>
      <w:r>
        <w:rPr>
          <w:rStyle w:val="FootnoteReference"/>
        </w:rPr>
        <w:footnoteRef/>
      </w:r>
      <w:r>
        <w:t xml:space="preserve"> Final supplemental EIS at </w:t>
      </w:r>
      <w:r w:rsidR="00E84496">
        <w:t>16</w:t>
      </w:r>
      <w:r w:rsidR="00CD28E7">
        <w:t xml:space="preserve">.  </w:t>
      </w:r>
    </w:p>
  </w:footnote>
  <w:footnote w:id="218">
    <w:p w14:paraId="6D74F0F8" w14:textId="77777777" w:rsidR="005945AD" w:rsidRPr="005945AD" w:rsidRDefault="005945AD">
      <w:pPr>
        <w:pStyle w:val="FootnoteText"/>
      </w:pPr>
      <w:r>
        <w:rPr>
          <w:rStyle w:val="FootnoteReference"/>
        </w:rPr>
        <w:footnoteRef/>
      </w:r>
      <w:r>
        <w:t xml:space="preserve"> </w:t>
      </w:r>
      <w:r>
        <w:rPr>
          <w:i/>
          <w:iCs/>
        </w:rPr>
        <w:t>See supra</w:t>
      </w:r>
      <w:r>
        <w:t xml:space="preserve"> </w:t>
      </w:r>
      <w:r w:rsidRPr="00106318">
        <w:t xml:space="preserve">note </w:t>
      </w:r>
      <w:r w:rsidR="00085858">
        <w:t>122</w:t>
      </w:r>
      <w:r>
        <w:t xml:space="preserve">. </w:t>
      </w:r>
    </w:p>
  </w:footnote>
  <w:footnote w:id="219">
    <w:p w14:paraId="3A4D4864" w14:textId="77777777" w:rsidR="0093763D" w:rsidRDefault="0093763D" w:rsidP="0093763D">
      <w:pPr>
        <w:pStyle w:val="FootnoteText"/>
      </w:pPr>
      <w:r>
        <w:rPr>
          <w:rStyle w:val="FootnoteReference"/>
        </w:rPr>
        <w:footnoteRef/>
      </w:r>
      <w:r>
        <w:t xml:space="preserve"> </w:t>
      </w:r>
      <w:r w:rsidRPr="008B13EB">
        <w:t>42 U.S.C. § 4332(2)(C)(i).</w:t>
      </w:r>
    </w:p>
  </w:footnote>
  <w:footnote w:id="220">
    <w:p w14:paraId="41DEE631" w14:textId="77777777" w:rsidR="0093763D" w:rsidRDefault="0093763D" w:rsidP="0093763D">
      <w:pPr>
        <w:pStyle w:val="FootnoteText"/>
      </w:pPr>
      <w:r>
        <w:rPr>
          <w:rStyle w:val="FootnoteReference"/>
        </w:rPr>
        <w:footnoteRef/>
      </w:r>
      <w:r>
        <w:t xml:space="preserve"> </w:t>
      </w:r>
      <w:r w:rsidRPr="00D77F3D">
        <w:t>We also note that the Commission consulted with the EPA and LDEQ throughout the preparation of the final supplemental EIS regarding the methodologies for various impact analyses—including air quality—and neither suggested that the Commission should analyze mobile source emissions more than it had already done.</w:t>
      </w:r>
      <w:r w:rsidR="00175A2C">
        <w:t xml:space="preserve"> </w:t>
      </w:r>
      <w:r w:rsidRPr="00D77F3D">
        <w:t xml:space="preserve"> </w:t>
      </w:r>
      <w:r w:rsidRPr="00D77F3D">
        <w:rPr>
          <w:i/>
          <w:iCs/>
        </w:rPr>
        <w:t>Coal. for Advancement of Reg</w:t>
      </w:r>
      <w:r w:rsidR="00227557">
        <w:rPr>
          <w:i/>
          <w:iCs/>
        </w:rPr>
        <w:t>’</w:t>
      </w:r>
      <w:r w:rsidRPr="00D77F3D">
        <w:rPr>
          <w:i/>
          <w:iCs/>
        </w:rPr>
        <w:t>l Transp. v. Fed. Highway Admin.,</w:t>
      </w:r>
      <w:r w:rsidRPr="00D77F3D">
        <w:t xml:space="preserve"> 576 F. App’x 477, 491–92 (6th Cir. 2014) (citing </w:t>
      </w:r>
      <w:r w:rsidR="00463100" w:rsidRPr="00463100">
        <w:rPr>
          <w:i/>
          <w:iCs/>
        </w:rPr>
        <w:t>Tinicum Twp., Pa. v. U.S. Dep’t of Transp.</w:t>
      </w:r>
      <w:r w:rsidR="00463100" w:rsidRPr="00273E1B">
        <w:t>, 685 F.3d 288, 296 (3d Cir. 2012)</w:t>
      </w:r>
      <w:r w:rsidR="00463100">
        <w:t xml:space="preserve"> (</w:t>
      </w:r>
      <w:r w:rsidR="00463100" w:rsidRPr="000966D9">
        <w:rPr>
          <w:i/>
          <w:iCs/>
        </w:rPr>
        <w:t>Tinicum</w:t>
      </w:r>
      <w:r w:rsidR="00463100">
        <w:rPr>
          <w:i/>
          <w:iCs/>
        </w:rPr>
        <w:t xml:space="preserve"> Twp.</w:t>
      </w:r>
      <w:r w:rsidR="00463100">
        <w:t>)</w:t>
      </w:r>
      <w:r w:rsidRPr="00D77F3D">
        <w:t>) (“Moreover, the record shows that defendants consulted with the EPA throughout the preparation of the Supplemental Final EIS regarding the methodologies for various impact analyses—including air quality—and at no time did EPA suggest that defendants should analyze “ultra-fine” particulates. ‘While additional data might enable a more detailed environmental analysis, NEPA does not require maximum detail. Rather, it requires agencies to make a series of line-drawing decisions based on the significance and usefulness of additional information.’”).</w:t>
      </w:r>
    </w:p>
  </w:footnote>
  <w:footnote w:id="221">
    <w:p w14:paraId="1F31B2AE" w14:textId="77777777" w:rsidR="0093763D" w:rsidRDefault="0093763D" w:rsidP="0093763D">
      <w:pPr>
        <w:pStyle w:val="FootnoteText"/>
      </w:pPr>
      <w:r>
        <w:rPr>
          <w:rStyle w:val="FootnoteReference"/>
        </w:rPr>
        <w:footnoteRef/>
      </w:r>
      <w:r>
        <w:t xml:space="preserve"> </w:t>
      </w:r>
      <w:r w:rsidRPr="007325C0">
        <w:t>These assumptions include calculating emissions based on the upper limit of ships that the applicant can utilize, which itself is based on</w:t>
      </w:r>
      <w:r w:rsidR="00E93D95">
        <w:t xml:space="preserve">:  </w:t>
      </w:r>
      <w:r w:rsidRPr="007325C0">
        <w:t xml:space="preserve">(1) how much LNG the applicant is actually able to produce, and (2) how many ships may traverse the waterway based on the Waterway Suitability Assessment.  Moreover, vessel emissions calculations involve a confluence of additional assumptions, including distance, the size and type of vessel, and the changing nature of the LNG ship fleet.  </w:t>
      </w:r>
      <w:r w:rsidRPr="007325C0">
        <w:rPr>
          <w:i/>
          <w:iCs/>
        </w:rPr>
        <w:t>See</w:t>
      </w:r>
      <w:r w:rsidRPr="007325C0">
        <w:t xml:space="preserve"> final EIS at 4-361 to 4-364 (detailing assumptions including main engine size of vessels; length of time for maneuvering, holding, and hoteling; and vessel power requirements); </w:t>
      </w:r>
      <w:r w:rsidRPr="007325C0">
        <w:rPr>
          <w:i/>
          <w:iCs/>
        </w:rPr>
        <w:t>see also</w:t>
      </w:r>
      <w:r w:rsidRPr="007325C0">
        <w:t xml:space="preserve"> Venture Global Dec. 23, 2024 Response to Data Request att. Air-3-2 (describing assumptions for various CP1 LNG vessels including, their activities, power requirements, and emissions). </w:t>
      </w:r>
    </w:p>
  </w:footnote>
  <w:footnote w:id="222">
    <w:p w14:paraId="50A07E9F" w14:textId="77777777" w:rsidR="0093763D" w:rsidRDefault="0093763D" w:rsidP="00E93D95">
      <w:pPr>
        <w:pStyle w:val="FootnoteText"/>
        <w:widowControl/>
      </w:pPr>
      <w:r>
        <w:rPr>
          <w:rStyle w:val="FootnoteReference"/>
        </w:rPr>
        <w:footnoteRef/>
      </w:r>
      <w:r>
        <w:t xml:space="preserve"> </w:t>
      </w:r>
      <w:r w:rsidRPr="003A44C2">
        <w:t>AERMOD is an air quality modeling system preferred by the EPA.</w:t>
      </w:r>
      <w:r w:rsidR="009D2064">
        <w:t xml:space="preserve"> </w:t>
      </w:r>
      <w:r w:rsidR="00645FF3">
        <w:t>EPA</w:t>
      </w:r>
      <w:r w:rsidRPr="003A44C2">
        <w:t>,</w:t>
      </w:r>
      <w:r w:rsidR="00645FF3">
        <w:t xml:space="preserve"> </w:t>
      </w:r>
      <w:r w:rsidRPr="003A44C2">
        <w:rPr>
          <w:i/>
          <w:iCs/>
        </w:rPr>
        <w:t>Support Center for Regulatory Atmospheric Modeling (SCRAM) -Air Quality Dispersion Modeling-Preferred and Recommended Models</w:t>
      </w:r>
      <w:r w:rsidRPr="003A44C2">
        <w:t xml:space="preserve">, </w:t>
      </w:r>
      <w:r w:rsidRPr="00E93D95">
        <w:t>https://www.epa.gov/scram/air-quality-dispersion-modeling-preferred-and-recommended-models</w:t>
      </w:r>
      <w:r w:rsidRPr="003A44C2">
        <w:t>.</w:t>
      </w:r>
      <w:r w:rsidR="00645FF3">
        <w:t xml:space="preserve"> </w:t>
      </w:r>
      <w:r w:rsidRPr="003A44C2">
        <w:t xml:space="preserve"> AERMOD meets the EPA’s modeling guidance in Appendix W to 40 CFR part 51 and is a steady state gaussian plume air model used to estimate concentrations due to air emissions on receptors up to 50 km from the source.  EPA, </w:t>
      </w:r>
      <w:r w:rsidRPr="003A44C2">
        <w:rPr>
          <w:i/>
          <w:iCs/>
        </w:rPr>
        <w:t>AERMOD Implementation Guide</w:t>
      </w:r>
      <w:r w:rsidRPr="003A44C2">
        <w:t xml:space="preserve"> (Nov. 2024), available at </w:t>
      </w:r>
      <w:r w:rsidRPr="00E93D95">
        <w:t>https://gaftp.epa.gov/aqmg/SCRAM/models/preferred/aermod/aermod_implementation_guide.pdf</w:t>
      </w:r>
      <w:r w:rsidRPr="003A44C2">
        <w:t>.</w:t>
      </w:r>
    </w:p>
  </w:footnote>
  <w:footnote w:id="223">
    <w:p w14:paraId="3826898E" w14:textId="77777777" w:rsidR="00A57FE6" w:rsidRDefault="00A57FE6" w:rsidP="00A57FE6">
      <w:pPr>
        <w:pStyle w:val="FootnoteText"/>
      </w:pPr>
      <w:r>
        <w:rPr>
          <w:rStyle w:val="FootnoteReference"/>
        </w:rPr>
        <w:footnoteRef/>
      </w:r>
      <w:r>
        <w:t xml:space="preserve"> The two additional terminals were Texas LNG and Annova LNG. </w:t>
      </w:r>
    </w:p>
  </w:footnote>
  <w:footnote w:id="224">
    <w:p w14:paraId="3977E6BA" w14:textId="77777777" w:rsidR="0093763D" w:rsidRDefault="0093763D" w:rsidP="0093763D">
      <w:pPr>
        <w:pStyle w:val="FootnoteText"/>
      </w:pPr>
      <w:r>
        <w:rPr>
          <w:rStyle w:val="FootnoteReference"/>
        </w:rPr>
        <w:footnoteRef/>
      </w:r>
      <w:r>
        <w:t xml:space="preserve"> </w:t>
      </w:r>
      <w:r w:rsidRPr="008C491F">
        <w:rPr>
          <w:i/>
          <w:iCs/>
        </w:rPr>
        <w:t>Rio Grande LNG, LLC</w:t>
      </w:r>
      <w:r w:rsidRPr="008C491F">
        <w:t>, 170 FERC ¶ 61,046 at P 50</w:t>
      </w:r>
      <w:r>
        <w:t>.</w:t>
      </w:r>
    </w:p>
  </w:footnote>
  <w:footnote w:id="225">
    <w:p w14:paraId="47DB34C1" w14:textId="77777777" w:rsidR="00965700" w:rsidRDefault="00965700" w:rsidP="00965700">
      <w:pPr>
        <w:pStyle w:val="FootnoteText"/>
      </w:pPr>
      <w:r w:rsidRPr="00E13C8F">
        <w:rPr>
          <w:rStyle w:val="FootnoteReference"/>
        </w:rPr>
        <w:footnoteRef/>
      </w:r>
      <w:r w:rsidRPr="00D36C9E">
        <w:t xml:space="preserve"> Rio Grande LNG, final EIS, Docket Nos. CP16-454-000, et al., </w:t>
      </w:r>
      <w:r w:rsidR="009F3FAA">
        <w:t xml:space="preserve">app. P </w:t>
      </w:r>
      <w:r w:rsidRPr="00D36C9E">
        <w:t>at P-1 (issued Apr. 26, 2019).</w:t>
      </w:r>
    </w:p>
  </w:footnote>
  <w:footnote w:id="226">
    <w:p w14:paraId="3F839905" w14:textId="77777777" w:rsidR="00894C83" w:rsidRPr="00894C83" w:rsidRDefault="00894C83" w:rsidP="00E27B24">
      <w:pPr>
        <w:pStyle w:val="FootnoteText"/>
      </w:pPr>
      <w:r>
        <w:rPr>
          <w:rStyle w:val="FootnoteReference"/>
        </w:rPr>
        <w:footnoteRef/>
      </w:r>
      <w:r>
        <w:t xml:space="preserve"> </w:t>
      </w:r>
      <w:r w:rsidRPr="000966D9">
        <w:rPr>
          <w:i/>
          <w:iCs/>
        </w:rPr>
        <w:t>See supra</w:t>
      </w:r>
      <w:r w:rsidRPr="000966D9">
        <w:t xml:space="preserve"> note </w:t>
      </w:r>
      <w:r w:rsidR="00FB559A">
        <w:t>220</w:t>
      </w:r>
      <w:r w:rsidR="00E27B24" w:rsidRPr="000966D9">
        <w:t xml:space="preserve">; </w:t>
      </w:r>
      <w:r w:rsidR="00E27B24" w:rsidRPr="00CC1DC2">
        <w:rPr>
          <w:i/>
        </w:rPr>
        <w:t xml:space="preserve">Citizens for Smart Growth v. </w:t>
      </w:r>
      <w:r w:rsidR="00E27B24" w:rsidRPr="00CC1DC2">
        <w:rPr>
          <w:i/>
          <w:iCs/>
        </w:rPr>
        <w:t>Sec’y</w:t>
      </w:r>
      <w:r w:rsidR="00E27B24" w:rsidRPr="00CC1DC2">
        <w:rPr>
          <w:i/>
        </w:rPr>
        <w:t xml:space="preserve"> of Dep’t of Transp.</w:t>
      </w:r>
      <w:r w:rsidR="00E27B24" w:rsidRPr="00CC1DC2">
        <w:t xml:space="preserve">, 669 F.3d 1203, 1215 (11th Cir. 2012) (citing </w:t>
      </w:r>
      <w:r w:rsidR="00E27B24" w:rsidRPr="00CC1DC2">
        <w:rPr>
          <w:i/>
        </w:rPr>
        <w:t>City of Oxford v. FAA</w:t>
      </w:r>
      <w:r w:rsidR="00E27B24" w:rsidRPr="00CC1DC2">
        <w:t>, 428 F.3d 1346, 1356 (11th Cir. 2005) (“agencies cannot be ‘forced to analyze the environmental impact of a project, the parameters and specifics of which would be a mere guess.”).</w:t>
      </w:r>
    </w:p>
  </w:footnote>
  <w:footnote w:id="227">
    <w:p w14:paraId="3692248A" w14:textId="77777777" w:rsidR="00965700" w:rsidRDefault="00965700">
      <w:pPr>
        <w:pStyle w:val="FootnoteText"/>
      </w:pPr>
      <w:r w:rsidRPr="00D36C9E">
        <w:rPr>
          <w:rStyle w:val="FootnoteReference"/>
        </w:rPr>
        <w:footnoteRef/>
      </w:r>
      <w:r w:rsidRPr="000966D9">
        <w:t xml:space="preserve"> 90 Fed. Reg. 10,610 (Feb. 25, 2025).</w:t>
      </w:r>
    </w:p>
  </w:footnote>
  <w:footnote w:id="228">
    <w:p w14:paraId="1F90A62A" w14:textId="77777777" w:rsidR="00F75B03" w:rsidRDefault="00F75B03" w:rsidP="00F75B03">
      <w:pPr>
        <w:pStyle w:val="FootnoteText"/>
      </w:pPr>
      <w:r>
        <w:rPr>
          <w:rStyle w:val="FootnoteReference"/>
        </w:rPr>
        <w:footnoteRef/>
      </w:r>
      <w:r>
        <w:t xml:space="preserve"> </w:t>
      </w:r>
      <w:r w:rsidR="00EE5706">
        <w:t>F</w:t>
      </w:r>
      <w:r>
        <w:t xml:space="preserve">inal supplemental EIS at </w:t>
      </w:r>
      <w:r w:rsidR="008C2030">
        <w:t>14</w:t>
      </w:r>
      <w:r w:rsidR="002F0AF4">
        <w:t xml:space="preserve">. </w:t>
      </w:r>
    </w:p>
  </w:footnote>
  <w:footnote w:id="229">
    <w:p w14:paraId="0B435F8B" w14:textId="77777777" w:rsidR="00F75B03" w:rsidRDefault="00F75B03" w:rsidP="00F75B03">
      <w:pPr>
        <w:pStyle w:val="FootnoteText"/>
      </w:pPr>
      <w:r>
        <w:rPr>
          <w:rStyle w:val="FootnoteReference"/>
        </w:rPr>
        <w:footnoteRef/>
      </w:r>
      <w:r>
        <w:t xml:space="preserve"> </w:t>
      </w:r>
      <w:r w:rsidR="008E5EC7">
        <w:rPr>
          <w:i/>
          <w:iCs/>
        </w:rPr>
        <w:t>Id.</w:t>
      </w:r>
      <w:r>
        <w:rPr>
          <w:i/>
        </w:rPr>
        <w:t xml:space="preserve"> </w:t>
      </w:r>
      <w:r w:rsidR="00C93F1E">
        <w:t xml:space="preserve">at </w:t>
      </w:r>
      <w:r w:rsidR="008C2030">
        <w:t>17-19</w:t>
      </w:r>
      <w:r w:rsidR="008E5EC7">
        <w:t>.</w:t>
      </w:r>
    </w:p>
  </w:footnote>
  <w:footnote w:id="230">
    <w:p w14:paraId="32B51982" w14:textId="77777777" w:rsidR="00F75B03" w:rsidRDefault="00F75B03" w:rsidP="00F75B03">
      <w:pPr>
        <w:pStyle w:val="FootnoteText"/>
        <w:widowControl/>
      </w:pPr>
      <w:r>
        <w:rPr>
          <w:rStyle w:val="FootnoteReference"/>
        </w:rPr>
        <w:footnoteRef/>
      </w:r>
      <w:r>
        <w:t xml:space="preserve"> Authorization Order, 187 FERC ¶ 61,199 at P 185 (citing </w:t>
      </w:r>
      <w:r w:rsidRPr="00E44C4C">
        <w:t>L</w:t>
      </w:r>
      <w:r>
        <w:t xml:space="preserve">DEQ, Air Emissions Inventory, </w:t>
      </w:r>
      <w:r w:rsidR="00610E13" w:rsidRPr="00E93D95">
        <w:t>https://deq.louisiana.gov/index.cfm?md=pagebuilder&amp;tmp=home&amp;‌pid=EmissionsInventory</w:t>
      </w:r>
      <w:r w:rsidR="00610E13">
        <w:t xml:space="preserve"> </w:t>
      </w:r>
      <w:r>
        <w:t>(last updated Dec. 26, 2024))</w:t>
      </w:r>
      <w:r w:rsidR="0059121E">
        <w:t>.</w:t>
      </w:r>
      <w:r>
        <w:t xml:space="preserve">  We note that the inclusion of mobile sources from the </w:t>
      </w:r>
      <w:r w:rsidR="0088659E">
        <w:t>CP1 LNG terminal</w:t>
      </w:r>
      <w:r>
        <w:t xml:space="preserve"> does not mean that the Commission, or any other agency </w:t>
      </w:r>
      <w:r w:rsidRPr="008F72E6">
        <w:t xml:space="preserve">only included mobile sources from facilities under common ownership.  </w:t>
      </w:r>
      <w:r w:rsidR="000B0BA6">
        <w:t xml:space="preserve">Petitioners </w:t>
      </w:r>
      <w:r>
        <w:t xml:space="preserve">Rehearing Request at 143.  The CP2 LNG Project will be built next to the </w:t>
      </w:r>
      <w:r w:rsidR="0088659E">
        <w:t>CP1 LNG terminal</w:t>
      </w:r>
      <w:r>
        <w:t xml:space="preserve">, which tends to explain its inclusion in the air quality models submitted to </w:t>
      </w:r>
      <w:r w:rsidR="00B23663">
        <w:t>L</w:t>
      </w:r>
      <w:r>
        <w:t xml:space="preserve">DEQ.   </w:t>
      </w:r>
    </w:p>
  </w:footnote>
  <w:footnote w:id="231">
    <w:p w14:paraId="68A06B0A" w14:textId="77777777" w:rsidR="00F75B03" w:rsidRDefault="00F75B03" w:rsidP="00E93D95">
      <w:pPr>
        <w:pStyle w:val="FootnoteText"/>
        <w:widowControl/>
      </w:pPr>
      <w:r>
        <w:rPr>
          <w:rStyle w:val="FootnoteReference"/>
        </w:rPr>
        <w:footnoteRef/>
      </w:r>
      <w:r>
        <w:t xml:space="preserve"> </w:t>
      </w:r>
      <w:r w:rsidR="00A718ED" w:rsidRPr="003E2835">
        <w:t xml:space="preserve">40 C.F.R. part 51, Appendix W – Guideline on Air Quality Models.  </w:t>
      </w:r>
      <w:r w:rsidR="00A718ED" w:rsidRPr="003E2835">
        <w:rPr>
          <w:i/>
          <w:iCs/>
        </w:rPr>
        <w:t>See also</w:t>
      </w:r>
      <w:r w:rsidR="00A718ED">
        <w:t xml:space="preserve"> </w:t>
      </w:r>
      <w:r>
        <w:t>Authorization Order, 187 FERC ¶ 61,199 at P 185 &amp; n.450</w:t>
      </w:r>
      <w:r w:rsidR="007E52AA">
        <w:t>;</w:t>
      </w:r>
      <w:r w:rsidR="00E03D6E">
        <w:rPr>
          <w:i/>
          <w:iCs/>
        </w:rPr>
        <w:t xml:space="preserve"> </w:t>
      </w:r>
      <w:r w:rsidR="00236865" w:rsidRPr="000966D9">
        <w:rPr>
          <w:i/>
          <w:iCs/>
        </w:rPr>
        <w:t>Utah Physicians for a Healthy Env’t v. Diesel Power Gear, LLC</w:t>
      </w:r>
      <w:r w:rsidR="00236865" w:rsidRPr="000966D9">
        <w:t>, 21 F.4th 1229, 1235 (10th Cir. 2021) (“</w:t>
      </w:r>
      <w:r w:rsidR="009719B4" w:rsidRPr="000966D9">
        <w:t>As a general rule, the States’ principal responsibility is stationary sources like factories and power plants (governed by Title I of the CAA), while the EPA has primary responsibility over mobile sources (governed by Title II of the Act).</w:t>
      </w:r>
      <w:r w:rsidR="007552F9" w:rsidRPr="000966D9">
        <w:t>”).</w:t>
      </w:r>
    </w:p>
  </w:footnote>
  <w:footnote w:id="232">
    <w:p w14:paraId="6D373E2A" w14:textId="77777777" w:rsidR="006043A6" w:rsidRDefault="006043A6" w:rsidP="006043A6">
      <w:pPr>
        <w:pStyle w:val="FootnoteText"/>
      </w:pPr>
      <w:r>
        <w:rPr>
          <w:rStyle w:val="FootnoteReference"/>
        </w:rPr>
        <w:footnoteRef/>
      </w:r>
      <w:r>
        <w:t xml:space="preserve"> </w:t>
      </w:r>
      <w:r w:rsidRPr="00213752">
        <w:rPr>
          <w:i/>
          <w:iCs/>
        </w:rPr>
        <w:t>Millennium Pipeline Co.</w:t>
      </w:r>
      <w:r w:rsidR="00E93D95">
        <w:rPr>
          <w:i/>
          <w:iCs/>
        </w:rPr>
        <w:t>, L.L.C.</w:t>
      </w:r>
      <w:r w:rsidRPr="00114C9E">
        <w:t xml:space="preserve">, 145 FERC ¶ 61,007, </w:t>
      </w:r>
      <w:r>
        <w:t>at P 50</w:t>
      </w:r>
      <w:r w:rsidRPr="00114C9E">
        <w:t xml:space="preserve"> (2013)</w:t>
      </w:r>
      <w:r w:rsidR="00D644DA">
        <w:t>.</w:t>
      </w:r>
      <w:r w:rsidR="00D235B1">
        <w:t xml:space="preserve">  Notably, </w:t>
      </w:r>
      <w:r w:rsidR="0018155E" w:rsidRPr="000966D9">
        <w:t>emissions from</w:t>
      </w:r>
      <w:r w:rsidR="0018155E">
        <w:t xml:space="preserve"> </w:t>
      </w:r>
      <w:r w:rsidR="00D235B1" w:rsidRPr="00D235B1">
        <w:t xml:space="preserve">mobile sources are covered by the state monitoring </w:t>
      </w:r>
      <w:r w:rsidR="00D235B1">
        <w:t xml:space="preserve">program </w:t>
      </w:r>
      <w:r w:rsidR="00D235B1" w:rsidRPr="00D235B1">
        <w:t>for increases in “background” emissions</w:t>
      </w:r>
      <w:r w:rsidR="00305F1C">
        <w:t xml:space="preserve">. </w:t>
      </w:r>
      <w:r w:rsidR="002038F1">
        <w:t xml:space="preserve"> </w:t>
      </w:r>
      <w:r w:rsidR="002038F1" w:rsidRPr="002038F1">
        <w:rPr>
          <w:i/>
          <w:iCs/>
        </w:rPr>
        <w:t>See</w:t>
      </w:r>
      <w:r w:rsidR="002038F1">
        <w:t xml:space="preserve"> </w:t>
      </w:r>
      <w:r w:rsidR="002038F1" w:rsidRPr="002038F1">
        <w:t>40 CFR parts 50, 51, 53, and 58</w:t>
      </w:r>
      <w:r w:rsidR="002038F1">
        <w:t xml:space="preserve">.  </w:t>
      </w:r>
      <w:r w:rsidR="00305F1C" w:rsidRPr="002038F1">
        <w:t>W</w:t>
      </w:r>
      <w:r w:rsidR="00D235B1" w:rsidRPr="002038F1">
        <w:t>ith</w:t>
      </w:r>
      <w:r w:rsidR="00D235B1" w:rsidRPr="00D235B1">
        <w:t xml:space="preserve"> approval </w:t>
      </w:r>
      <w:r w:rsidR="00305F1C">
        <w:t>from the</w:t>
      </w:r>
      <w:r w:rsidR="00D235B1" w:rsidRPr="00D235B1">
        <w:t xml:space="preserve"> EPA, </w:t>
      </w:r>
      <w:r w:rsidR="00AF429A">
        <w:t xml:space="preserve">states may </w:t>
      </w:r>
      <w:r w:rsidR="00D235B1" w:rsidRPr="00D235B1">
        <w:t>adjust their implementation plans for permitting</w:t>
      </w:r>
      <w:r w:rsidR="00272E75">
        <w:t xml:space="preserve"> if </w:t>
      </w:r>
      <w:r w:rsidR="00EB4115">
        <w:t xml:space="preserve">an area/pollutant </w:t>
      </w:r>
      <w:r w:rsidR="006313FE">
        <w:t xml:space="preserve">in a region </w:t>
      </w:r>
      <w:r w:rsidR="00335533">
        <w:t>exceeded attainment thresholds (i.e., nonattainment)</w:t>
      </w:r>
      <w:r w:rsidR="00722577">
        <w:t xml:space="preserve">. </w:t>
      </w:r>
      <w:r w:rsidR="00C8369F">
        <w:t xml:space="preserve"> Therefore, Louisiana could implement measures to bring </w:t>
      </w:r>
      <w:r w:rsidR="008457CC">
        <w:t>its air quality into attainment if future</w:t>
      </w:r>
      <w:r w:rsidR="00305F1C">
        <w:t xml:space="preserve"> emissions, including those from mobile sources</w:t>
      </w:r>
      <w:r w:rsidR="00513F9C">
        <w:t>, exceeded</w:t>
      </w:r>
      <w:r w:rsidR="001B226E">
        <w:t xml:space="preserve"> attainment thresholds</w:t>
      </w:r>
      <w:r w:rsidR="00D235B1" w:rsidRPr="00D235B1">
        <w:t xml:space="preserve">. </w:t>
      </w:r>
      <w:r w:rsidR="00D235B1">
        <w:t xml:space="preserve"> </w:t>
      </w:r>
      <w:r w:rsidR="00C22C16" w:rsidRPr="00543212">
        <w:rPr>
          <w:i/>
        </w:rPr>
        <w:t xml:space="preserve">Sierra Club v. </w:t>
      </w:r>
      <w:r w:rsidR="00654484">
        <w:rPr>
          <w:i/>
        </w:rPr>
        <w:t>EPA</w:t>
      </w:r>
      <w:r w:rsidR="00C22C16" w:rsidRPr="00C22C16">
        <w:t>, 47 F.4th 738, 740 (D.C. Cir. 2022)</w:t>
      </w:r>
      <w:r w:rsidR="004627CA">
        <w:t xml:space="preserve"> (citing 42 U.S.C. §§ </w:t>
      </w:r>
      <w:r w:rsidR="003B73F5" w:rsidRPr="003B73F5">
        <w:t>7502(c)(1), (6)</w:t>
      </w:r>
      <w:r w:rsidR="005C2ECC">
        <w:t xml:space="preserve">, </w:t>
      </w:r>
      <w:r w:rsidR="005C2ECC" w:rsidRPr="005C2ECC">
        <w:t>7407(d)(3)(E)</w:t>
      </w:r>
      <w:r w:rsidR="00F83444">
        <w:t xml:space="preserve">, </w:t>
      </w:r>
      <w:r w:rsidR="00EC3F49" w:rsidRPr="00EC3F49">
        <w:t>7505a(a)</w:t>
      </w:r>
      <w:r w:rsidR="00EC3F49">
        <w:t>)</w:t>
      </w:r>
      <w:r w:rsidR="00C22C16">
        <w:t xml:space="preserve"> (“</w:t>
      </w:r>
      <w:r w:rsidR="004627CA" w:rsidRPr="004627CA">
        <w:t xml:space="preserve">SIPs for nonattainment areas must include emission reduction measures designed to bring the areas into compliance with the NAAQS.  Once EPA approves a nonattainment designation for a particular area, it can be redesignated to attainment only upon satisfaction of five statutory conditions, including approval by the agency of a </w:t>
      </w:r>
      <w:r w:rsidR="00C602DD">
        <w:t>‘</w:t>
      </w:r>
      <w:r w:rsidR="004627CA" w:rsidRPr="004627CA">
        <w:t>maintenance plan</w:t>
      </w:r>
      <w:r w:rsidR="00C602DD">
        <w:t>’</w:t>
      </w:r>
      <w:r w:rsidR="004627CA" w:rsidRPr="004627CA">
        <w:t xml:space="preserve"> assuring that the area will continue to meet the NAAQS for at least </w:t>
      </w:r>
      <w:r w:rsidR="00E93D95">
        <w:t>10</w:t>
      </w:r>
      <w:r w:rsidR="004627CA" w:rsidRPr="004627CA">
        <w:t xml:space="preserve"> years.</w:t>
      </w:r>
      <w:r w:rsidR="000802C6">
        <w:t xml:space="preserve">”).  </w:t>
      </w:r>
    </w:p>
  </w:footnote>
  <w:footnote w:id="233">
    <w:p w14:paraId="7B58C1CC" w14:textId="77777777" w:rsidR="00F75B03" w:rsidRDefault="00F75B03" w:rsidP="00805B26">
      <w:pPr>
        <w:pStyle w:val="FootnoteText"/>
      </w:pPr>
      <w:r>
        <w:rPr>
          <w:rStyle w:val="FootnoteReference"/>
        </w:rPr>
        <w:footnoteRef/>
      </w:r>
      <w:r>
        <w:t xml:space="preserve"> </w:t>
      </w:r>
      <w:r w:rsidR="00494099" w:rsidRPr="00494099">
        <w:rPr>
          <w:i/>
          <w:iCs/>
        </w:rPr>
        <w:t>See supra</w:t>
      </w:r>
      <w:r w:rsidR="00494099">
        <w:t xml:space="preserve"> </w:t>
      </w:r>
      <w:r w:rsidR="00F07D03" w:rsidRPr="00106318">
        <w:t xml:space="preserve">P 43 &amp; </w:t>
      </w:r>
      <w:r w:rsidR="002F028F">
        <w:t xml:space="preserve">notes </w:t>
      </w:r>
      <w:r w:rsidR="00802515">
        <w:t>164</w:t>
      </w:r>
      <w:r w:rsidR="00F07D03" w:rsidRPr="00106318">
        <w:t>-</w:t>
      </w:r>
      <w:r w:rsidR="00802515">
        <w:t>165</w:t>
      </w:r>
      <w:r w:rsidR="00494099">
        <w:t xml:space="preserve">; </w:t>
      </w:r>
      <w:r w:rsidR="00805B26" w:rsidRPr="00030D6E">
        <w:rPr>
          <w:i/>
        </w:rPr>
        <w:t>City</w:t>
      </w:r>
      <w:r w:rsidR="00805B26" w:rsidRPr="005F46EB">
        <w:rPr>
          <w:i/>
          <w:iCs/>
        </w:rPr>
        <w:t xml:space="preserve"> of Bos.</w:t>
      </w:r>
      <w:r w:rsidR="00805B26" w:rsidRPr="00805B26">
        <w:t xml:space="preserve">, 897 F.3d </w:t>
      </w:r>
      <w:r w:rsidR="004F47C7">
        <w:t>at</w:t>
      </w:r>
      <w:r w:rsidR="00805B26" w:rsidRPr="00805B26">
        <w:t xml:space="preserve"> 255</w:t>
      </w:r>
      <w:r w:rsidR="00805B26">
        <w:t xml:space="preserve"> </w:t>
      </w:r>
      <w:r>
        <w:t xml:space="preserve">(upholding the Commission’s reliance on conclusions of another agency); </w:t>
      </w:r>
      <w:r w:rsidRPr="00752B19">
        <w:rPr>
          <w:i/>
          <w:iCs/>
        </w:rPr>
        <w:t>EMR Network</w:t>
      </w:r>
      <w:r w:rsidRPr="00752B19">
        <w:t xml:space="preserve">, 391 F.3d </w:t>
      </w:r>
      <w:r w:rsidR="00E93D95">
        <w:t xml:space="preserve">        </w:t>
      </w:r>
      <w:r w:rsidR="00462A2F">
        <w:t>at 273</w:t>
      </w:r>
      <w:r w:rsidRPr="00752B19">
        <w:t xml:space="preserve"> (finding agency properly relied outside agency expertise)</w:t>
      </w:r>
      <w:r>
        <w:t xml:space="preserve">; </w:t>
      </w:r>
      <w:r w:rsidRPr="00F847BE">
        <w:rPr>
          <w:i/>
          <w:iCs/>
        </w:rPr>
        <w:t>Saguaro Connector Pipeline, LLC</w:t>
      </w:r>
      <w:r>
        <w:t xml:space="preserve">, </w:t>
      </w:r>
      <w:r w:rsidRPr="00BC18AC">
        <w:t>188 FERC ¶ 61,029</w:t>
      </w:r>
      <w:r w:rsidR="000B0602">
        <w:t>,</w:t>
      </w:r>
      <w:r>
        <w:t xml:space="preserve"> at P 114</w:t>
      </w:r>
      <w:r w:rsidR="000B0602">
        <w:t xml:space="preserve"> (2024)</w:t>
      </w:r>
      <w:r>
        <w:t xml:space="preserve">; </w:t>
      </w:r>
      <w:r w:rsidRPr="00C306F8">
        <w:rPr>
          <w:i/>
          <w:iCs/>
        </w:rPr>
        <w:t>Commonwealth LNG, LLC</w:t>
      </w:r>
      <w:r w:rsidRPr="004435E0">
        <w:t xml:space="preserve">, </w:t>
      </w:r>
      <w:r w:rsidR="00E93D95">
        <w:t xml:space="preserve">         </w:t>
      </w:r>
      <w:r w:rsidRPr="004435E0">
        <w:t>183 FERC ¶ 61,173</w:t>
      </w:r>
      <w:r w:rsidR="00B5257C">
        <w:t>,</w:t>
      </w:r>
      <w:r>
        <w:t xml:space="preserve"> at P 66</w:t>
      </w:r>
      <w:r w:rsidR="00B5257C">
        <w:t xml:space="preserve"> (2023)</w:t>
      </w:r>
      <w:r>
        <w:t xml:space="preserve">; </w:t>
      </w:r>
      <w:r w:rsidRPr="00752B19">
        <w:rPr>
          <w:i/>
          <w:iCs/>
        </w:rPr>
        <w:t>Millennium Pipeline Co.</w:t>
      </w:r>
      <w:r w:rsidRPr="00752B19">
        <w:t xml:space="preserve">, 161 FERC ¶ 61,229 </w:t>
      </w:r>
      <w:r w:rsidR="00E93D95">
        <w:t xml:space="preserve">           </w:t>
      </w:r>
      <w:r w:rsidRPr="00752B19">
        <w:t xml:space="preserve">at P 132; </w:t>
      </w:r>
      <w:r w:rsidRPr="00752B19">
        <w:rPr>
          <w:i/>
          <w:iCs/>
        </w:rPr>
        <w:t>see also</w:t>
      </w:r>
      <w:r>
        <w:t xml:space="preserve"> </w:t>
      </w:r>
      <w:r w:rsidRPr="00C306F8">
        <w:rPr>
          <w:i/>
          <w:iCs/>
        </w:rPr>
        <w:t>Algonquin Gas Transmission, LLC</w:t>
      </w:r>
      <w:r w:rsidRPr="006C70A7">
        <w:t>, 154 FERC ¶ 61,048</w:t>
      </w:r>
      <w:r w:rsidR="00930AE1">
        <w:t>,</w:t>
      </w:r>
      <w:r w:rsidRPr="006C70A7">
        <w:t xml:space="preserve"> at P 203 </w:t>
      </w:r>
      <w:r w:rsidR="00930AE1">
        <w:t xml:space="preserve">(2016) </w:t>
      </w:r>
      <w:r w:rsidRPr="00F3170A">
        <w:t>(“[T]he Commission is entitled to rely on an agency</w:t>
      </w:r>
      <w:r>
        <w:t>’</w:t>
      </w:r>
      <w:r w:rsidRPr="00F3170A">
        <w:t xml:space="preserve">s expertise. </w:t>
      </w:r>
      <w:r w:rsidR="00451B64">
        <w:t xml:space="preserve"> </w:t>
      </w:r>
      <w:r w:rsidRPr="00F3170A">
        <w:t>The Commission</w:t>
      </w:r>
      <w:r w:rsidR="00F237FA">
        <w:t>’</w:t>
      </w:r>
      <w:r w:rsidRPr="00F3170A">
        <w:t>s capability to assess different types of environmental impacts, while extensive, is not infinite. Accordingly, we routinely rely on the expertise of other agencies to evaluate the environmental or safety impacts of proposed projects, provided we are satisfied as to their competence and the validity of their basic data and analysis.”)</w:t>
      </w:r>
      <w:r>
        <w:t>.</w:t>
      </w:r>
      <w:r w:rsidR="00410397">
        <w:t xml:space="preserve">  </w:t>
      </w:r>
    </w:p>
  </w:footnote>
  <w:footnote w:id="234">
    <w:p w14:paraId="170FA8B9" w14:textId="77777777" w:rsidR="00A25BAD" w:rsidRDefault="00A25BAD" w:rsidP="00E93D95">
      <w:pPr>
        <w:pStyle w:val="FootnoteText"/>
        <w:widowControl/>
      </w:pPr>
      <w:r>
        <w:rPr>
          <w:rStyle w:val="FootnoteReference"/>
        </w:rPr>
        <w:footnoteRef/>
      </w:r>
      <w:r>
        <w:t xml:space="preserve"> </w:t>
      </w:r>
      <w:r w:rsidRPr="00A25BAD">
        <w:rPr>
          <w:i/>
        </w:rPr>
        <w:t>Hillsdale Env’t Loss Prevention, Inc. v. U.S. Army Corps of Eng</w:t>
      </w:r>
      <w:r w:rsidR="007F3F5D">
        <w:rPr>
          <w:i/>
        </w:rPr>
        <w:t>’</w:t>
      </w:r>
      <w:r w:rsidRPr="00A25BAD">
        <w:rPr>
          <w:i/>
        </w:rPr>
        <w:t>rs</w:t>
      </w:r>
      <w:r w:rsidRPr="00A25BAD">
        <w:t>, 702 F.3d 1156, 1178 (10th Cir. 2012) (“An agency has discretion to choose a methodology, so long as it explains why it is reliable.”).</w:t>
      </w:r>
    </w:p>
  </w:footnote>
  <w:footnote w:id="235">
    <w:p w14:paraId="4EC86D30" w14:textId="77777777" w:rsidR="005E2C49" w:rsidRDefault="005E2C49">
      <w:pPr>
        <w:pStyle w:val="FootnoteText"/>
      </w:pPr>
      <w:r>
        <w:rPr>
          <w:rStyle w:val="FootnoteReference"/>
        </w:rPr>
        <w:footnoteRef/>
      </w:r>
      <w:r>
        <w:t xml:space="preserve"> </w:t>
      </w:r>
      <w:r w:rsidR="00F26F1B" w:rsidRPr="00E0631A">
        <w:rPr>
          <w:i/>
          <w:iCs/>
        </w:rPr>
        <w:t>Duncan</w:t>
      </w:r>
      <w:r w:rsidR="00F26F1B">
        <w:rPr>
          <w:i/>
          <w:iCs/>
        </w:rPr>
        <w:t>’</w:t>
      </w:r>
      <w:r w:rsidR="00F26F1B" w:rsidRPr="00E0631A">
        <w:rPr>
          <w:i/>
          <w:iCs/>
        </w:rPr>
        <w:t>s Point Lot Owners Ass</w:t>
      </w:r>
      <w:r w:rsidR="00CB3324">
        <w:rPr>
          <w:i/>
          <w:iCs/>
        </w:rPr>
        <w:t>’</w:t>
      </w:r>
      <w:r w:rsidR="00F26F1B" w:rsidRPr="00E0631A">
        <w:rPr>
          <w:i/>
          <w:iCs/>
        </w:rPr>
        <w:t>n, Inc. v. FERC,</w:t>
      </w:r>
      <w:r w:rsidR="00F26F1B" w:rsidRPr="00E0631A">
        <w:t xml:space="preserve"> 522 F.3d 371, 376 (D.C.</w:t>
      </w:r>
      <w:r w:rsidR="003257AE">
        <w:t xml:space="preserve"> </w:t>
      </w:r>
      <w:r w:rsidR="00F26F1B" w:rsidRPr="00E0631A">
        <w:t>Cir.</w:t>
      </w:r>
      <w:r w:rsidR="003257AE">
        <w:t xml:space="preserve"> </w:t>
      </w:r>
      <w:r w:rsidR="00F26F1B" w:rsidRPr="00E0631A">
        <w:t xml:space="preserve">2008) </w:t>
      </w:r>
      <w:r w:rsidR="00F26F1B">
        <w:t xml:space="preserve">(quoting </w:t>
      </w:r>
      <w:r w:rsidRPr="00030D6E">
        <w:rPr>
          <w:i/>
        </w:rPr>
        <w:t>Coal. on Sensible Transp., Inc. v. Dole</w:t>
      </w:r>
      <w:r w:rsidRPr="005E2C49">
        <w:t>, 826 F.2d 60, 66 (D.C. Cir. 1987)</w:t>
      </w:r>
      <w:r w:rsidR="00F26F1B">
        <w:t>) (citations omitted)</w:t>
      </w:r>
      <w:r>
        <w:t>.</w:t>
      </w:r>
    </w:p>
  </w:footnote>
  <w:footnote w:id="236">
    <w:p w14:paraId="7A11BC2D" w14:textId="77777777" w:rsidR="009B0E9D" w:rsidRPr="00C74AB0" w:rsidRDefault="009B0E9D">
      <w:pPr>
        <w:pStyle w:val="FootnoteText"/>
      </w:pPr>
      <w:r>
        <w:rPr>
          <w:rStyle w:val="FootnoteReference"/>
        </w:rPr>
        <w:footnoteRef/>
      </w:r>
      <w:r>
        <w:t xml:space="preserve"> </w:t>
      </w:r>
      <w:r w:rsidR="003C7DAA" w:rsidRPr="00030D6E">
        <w:rPr>
          <w:i/>
        </w:rPr>
        <w:t>Tinicum Twp.</w:t>
      </w:r>
      <w:r w:rsidR="003C7DAA" w:rsidRPr="00E0631A">
        <w:t xml:space="preserve">, 685 F.3d </w:t>
      </w:r>
      <w:r w:rsidR="001301EB">
        <w:t>at</w:t>
      </w:r>
      <w:r w:rsidR="003C7DAA" w:rsidRPr="00E0631A">
        <w:t xml:space="preserve"> 296 </w:t>
      </w:r>
      <w:r w:rsidR="009A7E65">
        <w:t xml:space="preserve">(citing </w:t>
      </w:r>
      <w:r w:rsidR="00EF2B97">
        <w:rPr>
          <w:i/>
          <w:iCs/>
        </w:rPr>
        <w:t>Coal.</w:t>
      </w:r>
      <w:r w:rsidR="009A7E65" w:rsidRPr="00E0631A">
        <w:rPr>
          <w:i/>
          <w:iCs/>
        </w:rPr>
        <w:t xml:space="preserve"> on Sensible Transp. Inc. v. Dole,</w:t>
      </w:r>
      <w:r w:rsidR="009A7E65" w:rsidRPr="00E0631A">
        <w:t xml:space="preserve"> 826 F.2d </w:t>
      </w:r>
      <w:r w:rsidR="00083179">
        <w:t>at</w:t>
      </w:r>
      <w:r w:rsidR="009A7E65" w:rsidRPr="00E0631A">
        <w:t xml:space="preserve"> 66</w:t>
      </w:r>
      <w:r w:rsidR="009A7E65">
        <w:t xml:space="preserve">).  </w:t>
      </w:r>
      <w:r w:rsidR="00C74AB0" w:rsidRPr="004651F4">
        <w:t xml:space="preserve">In these circumstances, the number and importance of the many assumptions that the Commission would need to make to develop a useful emissions estimate goes well beyond the sort of “reasonable forecasting and speculation” that NEPA requires.  </w:t>
      </w:r>
      <w:r w:rsidR="00C74AB0" w:rsidRPr="004651F4">
        <w:rPr>
          <w:i/>
          <w:iCs/>
        </w:rPr>
        <w:t>Sierra Club v. U.S. Dep’t of Energy</w:t>
      </w:r>
      <w:r w:rsidR="00C74AB0" w:rsidRPr="004651F4">
        <w:t>, 867 F.3d 189, 198 (D.C. Cir. 2017) (citing </w:t>
      </w:r>
      <w:r w:rsidR="00C74AB0" w:rsidRPr="004651F4">
        <w:rPr>
          <w:i/>
          <w:iCs/>
        </w:rPr>
        <w:t>Del. Riverkeeper Network v. FERC</w:t>
      </w:r>
      <w:r w:rsidR="00C74AB0" w:rsidRPr="004651F4">
        <w:t>, 713 F.3d 1304, 1310 (D.C. Cir. 2014) (“‘</w:t>
      </w:r>
      <w:r w:rsidR="00C74AB0" w:rsidRPr="004651F4">
        <w:rPr>
          <w:i/>
          <w:iCs/>
        </w:rPr>
        <w:t>reasonable</w:t>
      </w:r>
      <w:r w:rsidR="00C74AB0" w:rsidRPr="004651F4">
        <w:t>’</w:t>
      </w:r>
      <w:r w:rsidR="00C74AB0" w:rsidRPr="004651F4">
        <w:rPr>
          <w:i/>
          <w:iCs/>
        </w:rPr>
        <w:t xml:space="preserve"> </w:t>
      </w:r>
      <w:r w:rsidR="00C74AB0" w:rsidRPr="004651F4">
        <w:t>being the operative word”));</w:t>
      </w:r>
      <w:r w:rsidR="00C74AB0" w:rsidRPr="004651F4">
        <w:rPr>
          <w:i/>
          <w:iCs/>
        </w:rPr>
        <w:t xml:space="preserve"> see also Tenn.</w:t>
      </w:r>
      <w:r w:rsidR="00C74AB0" w:rsidRPr="004651F4">
        <w:rPr>
          <w:i/>
        </w:rPr>
        <w:t xml:space="preserve"> Gas Pipeline Co.</w:t>
      </w:r>
      <w:r w:rsidR="00C74AB0" w:rsidRPr="004651F4">
        <w:t>, 187 FERC ¶ 61,136, at P 56 (2024) (declining to accept alternative calculations due to uncertain variables).</w:t>
      </w:r>
    </w:p>
  </w:footnote>
  <w:footnote w:id="237">
    <w:p w14:paraId="156D0036" w14:textId="77777777" w:rsidR="0059121E" w:rsidRDefault="0059121E">
      <w:pPr>
        <w:pStyle w:val="FootnoteText"/>
      </w:pPr>
      <w:r>
        <w:rPr>
          <w:rStyle w:val="FootnoteReference"/>
        </w:rPr>
        <w:footnoteRef/>
      </w:r>
      <w:r>
        <w:t xml:space="preserve"> </w:t>
      </w:r>
      <w:r w:rsidRPr="0059121E">
        <w:t xml:space="preserve">LDEQ, Louisiana Guidance for Air Permitting Actions at 147, </w:t>
      </w:r>
      <w:r w:rsidR="00D77BFB" w:rsidRPr="00E93D95">
        <w:t>https://www.deq.louisiana.gov/assets/docs/Air/Air_Permit_Applications/r06_LouisianaGuidanceforAirPermittingActions.pdf</w:t>
      </w:r>
      <w:r w:rsidRPr="0059121E">
        <w:t xml:space="preserve"> (Dec. 12, 2024) (“For those engines that are located on barges or other marine vessels, these engines should not be represented in air permits at all.  These engines are not subject to any state air permitting requirements.  These engines would either be classified as nonroad engines or as marine engines depending on their use and/or method of installation.  Both engine types are regulated by federal regulations that have not been delegated to LDEQ.”).</w:t>
      </w:r>
    </w:p>
  </w:footnote>
  <w:footnote w:id="238">
    <w:p w14:paraId="11ADE6D2" w14:textId="77777777" w:rsidR="00AB7C25" w:rsidRPr="00AC2C56" w:rsidRDefault="00AB7C25" w:rsidP="00E93D95">
      <w:pPr>
        <w:pStyle w:val="FootnoteText"/>
        <w:widowControl/>
      </w:pPr>
      <w:r>
        <w:rPr>
          <w:rStyle w:val="FootnoteReference"/>
        </w:rPr>
        <w:footnoteRef/>
      </w:r>
      <w:r>
        <w:t xml:space="preserve"> </w:t>
      </w:r>
      <w:r w:rsidRPr="007632C3">
        <w:rPr>
          <w:i/>
          <w:iCs/>
        </w:rPr>
        <w:t>Din</w:t>
      </w:r>
      <w:r>
        <w:rPr>
          <w:i/>
          <w:iCs/>
        </w:rPr>
        <w:t>é</w:t>
      </w:r>
      <w:r w:rsidRPr="007632C3">
        <w:rPr>
          <w:i/>
          <w:iCs/>
        </w:rPr>
        <w:t xml:space="preserve"> Citizens</w:t>
      </w:r>
      <w:r w:rsidRPr="007632C3">
        <w:t xml:space="preserve">, 59 F.4th </w:t>
      </w:r>
      <w:r>
        <w:t xml:space="preserve">at </w:t>
      </w:r>
      <w:r w:rsidRPr="007632C3">
        <w:t>1046</w:t>
      </w:r>
      <w:r w:rsidR="00D21D99">
        <w:t xml:space="preserve"> (</w:t>
      </w:r>
      <w:r w:rsidR="00D21D99" w:rsidRPr="00D21D99">
        <w:t>“[c]omparison to standards set by administrative bodies to determine whether healthy levels of pollutants would be exceeded constitutes a hard look at the health impacts</w:t>
      </w:r>
      <w:r w:rsidR="00D21D99">
        <w:t>”)</w:t>
      </w:r>
      <w:r>
        <w:t xml:space="preserve">; </w:t>
      </w:r>
      <w:r>
        <w:rPr>
          <w:i/>
          <w:iCs/>
        </w:rPr>
        <w:t>see also</w:t>
      </w:r>
      <w:r>
        <w:t xml:space="preserve"> </w:t>
      </w:r>
      <w:r w:rsidR="004F6CB0" w:rsidRPr="001F6D9D">
        <w:rPr>
          <w:i/>
          <w:iCs/>
        </w:rPr>
        <w:t xml:space="preserve">Coal. for Advancement of </w:t>
      </w:r>
      <w:r w:rsidR="00C62F51" w:rsidRPr="001F6D9D">
        <w:rPr>
          <w:i/>
          <w:iCs/>
        </w:rPr>
        <w:t>Reg</w:t>
      </w:r>
      <w:r w:rsidR="0010640D">
        <w:rPr>
          <w:i/>
          <w:iCs/>
        </w:rPr>
        <w:t>’</w:t>
      </w:r>
      <w:r w:rsidR="00C62F51" w:rsidRPr="001F6D9D">
        <w:rPr>
          <w:i/>
          <w:iCs/>
        </w:rPr>
        <w:t>l</w:t>
      </w:r>
      <w:r w:rsidR="004F6CB0" w:rsidRPr="001F6D9D">
        <w:rPr>
          <w:i/>
          <w:iCs/>
        </w:rPr>
        <w:t xml:space="preserve"> Transp. v. Fed. Highway Admin.,</w:t>
      </w:r>
      <w:r w:rsidR="004F6CB0" w:rsidRPr="001F6D9D">
        <w:t xml:space="preserve"> 576 F. </w:t>
      </w:r>
      <w:r w:rsidR="00C62F51" w:rsidRPr="001F6D9D">
        <w:t>App</w:t>
      </w:r>
      <w:r w:rsidR="00075E84">
        <w:t>’</w:t>
      </w:r>
      <w:r w:rsidR="00C62F51" w:rsidRPr="001F6D9D">
        <w:t>x</w:t>
      </w:r>
      <w:r w:rsidR="004F6CB0" w:rsidRPr="001F6D9D">
        <w:t xml:space="preserve"> </w:t>
      </w:r>
      <w:r w:rsidR="00857911">
        <w:t>at</w:t>
      </w:r>
      <w:r w:rsidR="004F6CB0" w:rsidRPr="001F6D9D">
        <w:t xml:space="preserve"> 491–92 </w:t>
      </w:r>
      <w:r w:rsidR="00314D06" w:rsidRPr="00314D06">
        <w:t xml:space="preserve">(upholding NEPA analysis that omitted pollutant that was not regulated under NAAQS and recognizing that NEPA’s requirements are per se satisfied by demonstrating conformity with NAAQS); </w:t>
      </w:r>
      <w:r w:rsidR="00314D06" w:rsidRPr="00D65F3B">
        <w:rPr>
          <w:i/>
          <w:iCs/>
        </w:rPr>
        <w:t>Sierra Club v. Fed. Highway Admin.</w:t>
      </w:r>
      <w:r w:rsidR="00314D06" w:rsidRPr="00D65F3B">
        <w:t xml:space="preserve">, 715 F. Supp. 2d 721, 741 (S.D. Tex. 2010), </w:t>
      </w:r>
      <w:r w:rsidR="00314D06" w:rsidRPr="00D65F3B">
        <w:rPr>
          <w:i/>
          <w:iCs/>
        </w:rPr>
        <w:t>aff</w:t>
      </w:r>
      <w:r w:rsidR="0010640D">
        <w:rPr>
          <w:i/>
          <w:iCs/>
        </w:rPr>
        <w:t>’</w:t>
      </w:r>
      <w:r w:rsidR="00314D06" w:rsidRPr="00D65F3B">
        <w:rPr>
          <w:i/>
          <w:iCs/>
        </w:rPr>
        <w:t>d</w:t>
      </w:r>
      <w:r w:rsidR="00314D06" w:rsidRPr="00D65F3B">
        <w:rPr>
          <w:u w:val="single"/>
        </w:rPr>
        <w:t>,</w:t>
      </w:r>
      <w:r w:rsidR="00314D06" w:rsidRPr="00D65F3B">
        <w:t xml:space="preserve"> 435 F. App</w:t>
      </w:r>
      <w:r w:rsidR="0010640D">
        <w:t>’</w:t>
      </w:r>
      <w:r w:rsidR="00314D06" w:rsidRPr="00D65F3B">
        <w:t>x 368 (5th Cir. 2011)</w:t>
      </w:r>
      <w:r w:rsidR="00314D06" w:rsidRPr="00314D06">
        <w:t xml:space="preserve"> (“The defendants’ decision to consider air pollution issues through the same framework used by the EPA to enforce the Clean Air Act cannot be considered arbitrary or capricious.”)</w:t>
      </w:r>
      <w:r w:rsidR="00314D06">
        <w:t>;</w:t>
      </w:r>
      <w:r w:rsidR="00314D06" w:rsidRPr="00314D06">
        <w:t xml:space="preserve"> </w:t>
      </w:r>
      <w:r w:rsidRPr="00167414">
        <w:rPr>
          <w:i/>
          <w:iCs/>
        </w:rPr>
        <w:t>Mountain Valley Pipeline, LLC</w:t>
      </w:r>
      <w:r w:rsidRPr="00585ED5">
        <w:t xml:space="preserve">, 172 FERC </w:t>
      </w:r>
      <w:r w:rsidR="00E93D95">
        <w:t xml:space="preserve">              </w:t>
      </w:r>
      <w:r w:rsidRPr="00585ED5">
        <w:t xml:space="preserve">¶ 61,261, </w:t>
      </w:r>
      <w:r>
        <w:t>at P 24</w:t>
      </w:r>
      <w:r w:rsidRPr="00585ED5">
        <w:t xml:space="preserve"> (2020)</w:t>
      </w:r>
      <w:r>
        <w:t xml:space="preserve"> (finding it appropriate to rely on NAAQS).  </w:t>
      </w:r>
    </w:p>
  </w:footnote>
  <w:footnote w:id="239">
    <w:p w14:paraId="577CB98A" w14:textId="77777777" w:rsidR="0042541C" w:rsidRPr="00016053" w:rsidRDefault="0042541C" w:rsidP="0042541C">
      <w:pPr>
        <w:pStyle w:val="FootnoteText"/>
      </w:pPr>
      <w:r>
        <w:rPr>
          <w:rStyle w:val="FootnoteReference"/>
        </w:rPr>
        <w:footnoteRef/>
      </w:r>
      <w:r>
        <w:t xml:space="preserve"> </w:t>
      </w:r>
      <w:r>
        <w:rPr>
          <w:i/>
          <w:iCs/>
        </w:rPr>
        <w:t>See</w:t>
      </w:r>
      <w:r>
        <w:t xml:space="preserve"> </w:t>
      </w:r>
      <w:r w:rsidRPr="004834B4">
        <w:rPr>
          <w:i/>
          <w:iCs/>
        </w:rPr>
        <w:t>Rio Grande LNG, LLC</w:t>
      </w:r>
      <w:r w:rsidRPr="004834B4">
        <w:t xml:space="preserve">, 170 FERC ¶ 61,046 </w:t>
      </w:r>
      <w:r>
        <w:t>at P 49 (noting that the Commission p</w:t>
      </w:r>
      <w:r w:rsidRPr="003C6E01">
        <w:t>resented air quality impacts modeling that extended beyond the federal and state required analyses</w:t>
      </w:r>
      <w:r>
        <w:t xml:space="preserve"> by e</w:t>
      </w:r>
      <w:r w:rsidRPr="00DE1969">
        <w:t>xamining emissions from both mobile sources and terminal operations, and the cumulative impacts modeling examining mobile and operational emissions from</w:t>
      </w:r>
      <w:r>
        <w:t xml:space="preserve"> nearby LNG terminals).  </w:t>
      </w:r>
      <w:r w:rsidR="00287C5F" w:rsidRPr="00287C5F">
        <w:t xml:space="preserve">  </w:t>
      </w:r>
      <w:r w:rsidR="00B60741">
        <w:t xml:space="preserve"> </w:t>
      </w:r>
    </w:p>
  </w:footnote>
  <w:footnote w:id="240">
    <w:p w14:paraId="66E6C643" w14:textId="77777777" w:rsidR="00AB479A" w:rsidRDefault="00AB479A">
      <w:pPr>
        <w:pStyle w:val="FootnoteText"/>
      </w:pPr>
      <w:r>
        <w:rPr>
          <w:rStyle w:val="FootnoteReference"/>
        </w:rPr>
        <w:footnoteRef/>
      </w:r>
      <w:r>
        <w:t xml:space="preserve"> Final supplemental EIS at </w:t>
      </w:r>
      <w:r w:rsidR="008C2030">
        <w:t>18</w:t>
      </w:r>
      <w:r w:rsidR="000E49E0">
        <w:t xml:space="preserve">.  </w:t>
      </w:r>
    </w:p>
  </w:footnote>
  <w:footnote w:id="241">
    <w:p w14:paraId="3E50DE18" w14:textId="77777777" w:rsidR="00C85E9B" w:rsidRDefault="00C85E9B">
      <w:pPr>
        <w:pStyle w:val="FootnoteText"/>
      </w:pPr>
      <w:r>
        <w:rPr>
          <w:rStyle w:val="FootnoteReference"/>
        </w:rPr>
        <w:footnoteRef/>
      </w:r>
      <w:r w:rsidR="000E49E0">
        <w:t xml:space="preserve"> </w:t>
      </w:r>
      <w:r w:rsidR="000E49E0">
        <w:rPr>
          <w:i/>
          <w:iCs/>
        </w:rPr>
        <w:t>Id.</w:t>
      </w:r>
      <w:r>
        <w:t xml:space="preserve">  </w:t>
      </w:r>
    </w:p>
  </w:footnote>
  <w:footnote w:id="242">
    <w:p w14:paraId="3F650BD2" w14:textId="77777777" w:rsidR="006865E5" w:rsidRDefault="006865E5" w:rsidP="006865E5">
      <w:pPr>
        <w:pStyle w:val="FootnoteText"/>
      </w:pPr>
      <w:r w:rsidRPr="00856344">
        <w:rPr>
          <w:rStyle w:val="FootnoteReference"/>
        </w:rPr>
        <w:footnoteRef/>
      </w:r>
      <w:r w:rsidR="00002315">
        <w:t xml:space="preserve"> </w:t>
      </w:r>
      <w:r w:rsidR="00002315">
        <w:rPr>
          <w:i/>
          <w:iCs/>
        </w:rPr>
        <w:t>Id</w:t>
      </w:r>
      <w:r w:rsidR="00002315" w:rsidRPr="00856344">
        <w:t>.</w:t>
      </w:r>
      <w:r w:rsidR="00002315">
        <w:t xml:space="preserve"> at </w:t>
      </w:r>
      <w:r w:rsidR="001B73D9">
        <w:t>17-19</w:t>
      </w:r>
      <w:r w:rsidR="00002315">
        <w:t>.</w:t>
      </w:r>
      <w:r>
        <w:t xml:space="preserve">   </w:t>
      </w:r>
    </w:p>
  </w:footnote>
  <w:footnote w:id="243">
    <w:p w14:paraId="22834D9C" w14:textId="77777777" w:rsidR="001644CB" w:rsidRDefault="001644CB">
      <w:pPr>
        <w:pStyle w:val="FootnoteText"/>
      </w:pPr>
      <w:r>
        <w:rPr>
          <w:rStyle w:val="FootnoteReference"/>
        </w:rPr>
        <w:footnoteRef/>
      </w:r>
      <w:r>
        <w:t xml:space="preserve"> </w:t>
      </w:r>
      <w:r w:rsidR="00002315">
        <w:rPr>
          <w:i/>
          <w:iCs/>
        </w:rPr>
        <w:t>Id.</w:t>
      </w:r>
      <w:r>
        <w:t xml:space="preserve"> at </w:t>
      </w:r>
      <w:r w:rsidR="0058708A">
        <w:t xml:space="preserve">18 </w:t>
      </w:r>
      <w:r>
        <w:t>&amp; n</w:t>
      </w:r>
      <w:r w:rsidR="00002315">
        <w:t>.</w:t>
      </w:r>
      <w:r w:rsidR="0058708A">
        <w:t>43</w:t>
      </w:r>
      <w:r w:rsidR="00002315">
        <w:t xml:space="preserve">.  </w:t>
      </w:r>
    </w:p>
  </w:footnote>
  <w:footnote w:id="244">
    <w:p w14:paraId="224516BE" w14:textId="77777777" w:rsidR="006865E5" w:rsidRPr="00E633BD" w:rsidRDefault="006865E5" w:rsidP="00E93D95">
      <w:pPr>
        <w:pStyle w:val="FootnoteText"/>
        <w:widowControl/>
      </w:pPr>
      <w:r>
        <w:rPr>
          <w:rStyle w:val="FootnoteReference"/>
        </w:rPr>
        <w:footnoteRef/>
      </w:r>
      <w:r>
        <w:t xml:space="preserve"> </w:t>
      </w:r>
      <w:r w:rsidR="000F6F1B">
        <w:t>Final EIS</w:t>
      </w:r>
      <w:r>
        <w:t xml:space="preserve"> at 4-552 </w:t>
      </w:r>
      <w:r w:rsidR="00E47E4C" w:rsidRPr="00E10CC0">
        <w:t>to</w:t>
      </w:r>
      <w:r>
        <w:t xml:space="preserve"> 4-553.  </w:t>
      </w:r>
      <w:r w:rsidR="00832B84">
        <w:t>These sources were not removed f</w:t>
      </w:r>
      <w:r w:rsidR="00865795">
        <w:t xml:space="preserve">rom </w:t>
      </w:r>
      <w:r w:rsidR="00680ED3">
        <w:t>the</w:t>
      </w:r>
      <w:r w:rsidR="000333E7">
        <w:t xml:space="preserve"> </w:t>
      </w:r>
      <w:r w:rsidR="00E10CC0">
        <w:t>modeling performed for the final supplemental EIS.</w:t>
      </w:r>
    </w:p>
  </w:footnote>
  <w:footnote w:id="245">
    <w:p w14:paraId="4F862BEC" w14:textId="77777777" w:rsidR="006865E5" w:rsidRDefault="006865E5" w:rsidP="006865E5">
      <w:pPr>
        <w:pStyle w:val="FootnoteText"/>
      </w:pPr>
      <w:r>
        <w:rPr>
          <w:rStyle w:val="FootnoteReference"/>
        </w:rPr>
        <w:footnoteRef/>
      </w:r>
      <w:r w:rsidR="00493130">
        <w:t xml:space="preserve"> Final supplemental EIS at </w:t>
      </w:r>
      <w:r w:rsidR="00C32511">
        <w:t>19</w:t>
      </w:r>
      <w:r w:rsidR="004C391D">
        <w:t xml:space="preserve">.  </w:t>
      </w:r>
    </w:p>
  </w:footnote>
  <w:footnote w:id="246">
    <w:p w14:paraId="694FDFB6" w14:textId="77777777" w:rsidR="00457673" w:rsidRDefault="00457673" w:rsidP="00457673">
      <w:pPr>
        <w:pStyle w:val="FootnoteText"/>
      </w:pPr>
      <w:r>
        <w:rPr>
          <w:rStyle w:val="FootnoteReference"/>
        </w:rPr>
        <w:footnoteRef/>
      </w:r>
      <w:r>
        <w:t xml:space="preserve"> </w:t>
      </w:r>
      <w:r w:rsidR="002571A3">
        <w:t>Petitioners</w:t>
      </w:r>
      <w:r>
        <w:t xml:space="preserve"> Rehearing Request at 146.  </w:t>
      </w:r>
    </w:p>
  </w:footnote>
  <w:footnote w:id="247">
    <w:p w14:paraId="3846474C" w14:textId="77777777" w:rsidR="00457673" w:rsidRDefault="00457673" w:rsidP="00457673">
      <w:pPr>
        <w:pStyle w:val="FootnoteText"/>
      </w:pPr>
      <w:r>
        <w:rPr>
          <w:rStyle w:val="FootnoteReference"/>
        </w:rPr>
        <w:footnoteRef/>
      </w:r>
      <w:r>
        <w:t xml:space="preserve"> </w:t>
      </w:r>
      <w:r>
        <w:rPr>
          <w:i/>
          <w:iCs/>
        </w:rPr>
        <w:t>Id.</w:t>
      </w:r>
    </w:p>
  </w:footnote>
  <w:footnote w:id="248">
    <w:p w14:paraId="7B2A03F3" w14:textId="77777777" w:rsidR="00457673" w:rsidRDefault="00457673" w:rsidP="00457673">
      <w:pPr>
        <w:pStyle w:val="FootnoteText"/>
      </w:pPr>
      <w:r>
        <w:rPr>
          <w:rStyle w:val="FootnoteReference"/>
        </w:rPr>
        <w:footnoteRef/>
      </w:r>
      <w:r>
        <w:t xml:space="preserve"> </w:t>
      </w:r>
      <w:r>
        <w:rPr>
          <w:i/>
          <w:iCs/>
        </w:rPr>
        <w:t>Id.</w:t>
      </w:r>
      <w:r>
        <w:rPr>
          <w:i/>
        </w:rPr>
        <w:t xml:space="preserve"> </w:t>
      </w:r>
      <w:r>
        <w:t xml:space="preserve">at 146-47.  </w:t>
      </w:r>
    </w:p>
  </w:footnote>
  <w:footnote w:id="249">
    <w:p w14:paraId="15E67D36" w14:textId="77777777" w:rsidR="00B26EF7" w:rsidRDefault="00B26EF7" w:rsidP="00B26EF7">
      <w:pPr>
        <w:pStyle w:val="FootnoteText"/>
      </w:pPr>
      <w:r>
        <w:rPr>
          <w:rStyle w:val="FootnoteReference"/>
        </w:rPr>
        <w:footnoteRef/>
      </w:r>
      <w:r>
        <w:t xml:space="preserve"> Final supplemental EIS at 17-19; Commonwealth LNG, draft supplemental EIS, Docket No. CP19-502-000, et al., at 15-19 (issued Feb. 14, 2025).</w:t>
      </w:r>
    </w:p>
  </w:footnote>
  <w:footnote w:id="250">
    <w:p w14:paraId="465E44E0" w14:textId="77777777" w:rsidR="00B26EF7" w:rsidRDefault="00B26EF7" w:rsidP="00E93D95">
      <w:pPr>
        <w:pStyle w:val="FootnoteText"/>
        <w:widowControl/>
      </w:pPr>
      <w:r>
        <w:rPr>
          <w:rStyle w:val="FootnoteReference"/>
        </w:rPr>
        <w:footnoteRef/>
      </w:r>
      <w:r>
        <w:t xml:space="preserve"> </w:t>
      </w:r>
      <w:r w:rsidRPr="00AA454E">
        <w:t xml:space="preserve">Venture Global Apr. 21, 2025 Response to Comments at </w:t>
      </w:r>
      <w:r>
        <w:t>39 (“Moreover, stack heights and diameters and other key characteristics of the turbines, flares, and other facility sources differ at each facility and the locations are different—all of which contribute to different modeling results.”).</w:t>
      </w:r>
    </w:p>
  </w:footnote>
  <w:footnote w:id="251">
    <w:p w14:paraId="2985316C" w14:textId="77777777" w:rsidR="00457673" w:rsidRDefault="00457673" w:rsidP="00457673">
      <w:pPr>
        <w:pStyle w:val="FootnoteText"/>
      </w:pPr>
      <w:r>
        <w:rPr>
          <w:rStyle w:val="FootnoteReference"/>
        </w:rPr>
        <w:footnoteRef/>
      </w:r>
      <w:r>
        <w:t xml:space="preserve"> Final EIS at 4-365 (citing </w:t>
      </w:r>
      <w:r w:rsidRPr="00A41C35">
        <w:t>L</w:t>
      </w:r>
      <w:r>
        <w:t xml:space="preserve">a. </w:t>
      </w:r>
      <w:r w:rsidRPr="00A41C35">
        <w:t>A</w:t>
      </w:r>
      <w:r>
        <w:t xml:space="preserve">dmin. </w:t>
      </w:r>
      <w:r w:rsidRPr="00A41C35">
        <w:t>C</w:t>
      </w:r>
      <w:r>
        <w:t>ode tit.</w:t>
      </w:r>
      <w:r w:rsidRPr="00A41C35">
        <w:t xml:space="preserve"> 33</w:t>
      </w:r>
      <w:r>
        <w:t xml:space="preserve">, part </w:t>
      </w:r>
      <w:r w:rsidRPr="00A41C35">
        <w:t>III</w:t>
      </w:r>
      <w:r>
        <w:t xml:space="preserve"> § </w:t>
      </w:r>
      <w:r w:rsidRPr="00A41C35">
        <w:t>509.J)</w:t>
      </w:r>
      <w:r w:rsidR="00AC5F14">
        <w:t>.</w:t>
      </w:r>
    </w:p>
  </w:footnote>
  <w:footnote w:id="252">
    <w:p w14:paraId="75C5D339" w14:textId="77777777" w:rsidR="00457673" w:rsidRDefault="00457673" w:rsidP="00457673">
      <w:pPr>
        <w:pStyle w:val="FootnoteText"/>
      </w:pPr>
      <w:r>
        <w:rPr>
          <w:rStyle w:val="FootnoteReference"/>
        </w:rPr>
        <w:footnoteRef/>
      </w:r>
      <w:r>
        <w:t xml:space="preserve"> </w:t>
      </w:r>
      <w:r w:rsidR="004C2920">
        <w:rPr>
          <w:i/>
          <w:iCs/>
        </w:rPr>
        <w:t>Id.</w:t>
      </w:r>
      <w:r>
        <w:t xml:space="preserve"> at 4-366.</w:t>
      </w:r>
    </w:p>
  </w:footnote>
  <w:footnote w:id="253">
    <w:p w14:paraId="41452D7D" w14:textId="77777777" w:rsidR="00457673" w:rsidRPr="00A26B52" w:rsidRDefault="00457673" w:rsidP="00457673">
      <w:pPr>
        <w:pStyle w:val="FootnoteText"/>
      </w:pPr>
      <w:r>
        <w:rPr>
          <w:rStyle w:val="FootnoteReference"/>
        </w:rPr>
        <w:footnoteRef/>
      </w:r>
      <w:r>
        <w:t xml:space="preserve"> </w:t>
      </w:r>
      <w:r>
        <w:rPr>
          <w:i/>
          <w:iCs/>
        </w:rPr>
        <w:t>Id.</w:t>
      </w:r>
      <w:r>
        <w:t xml:space="preserve"> </w:t>
      </w:r>
    </w:p>
  </w:footnote>
  <w:footnote w:id="254">
    <w:p w14:paraId="15EEF0F3" w14:textId="77777777" w:rsidR="00457673" w:rsidRPr="0040497C" w:rsidRDefault="00457673" w:rsidP="00457673">
      <w:pPr>
        <w:pStyle w:val="FootnoteText"/>
      </w:pPr>
      <w:r>
        <w:rPr>
          <w:rStyle w:val="FootnoteReference"/>
        </w:rPr>
        <w:footnoteRef/>
      </w:r>
      <w:r>
        <w:t xml:space="preserve"> </w:t>
      </w:r>
      <w:r>
        <w:rPr>
          <w:i/>
          <w:iCs/>
        </w:rPr>
        <w:t>Id.</w:t>
      </w:r>
      <w:r>
        <w:t xml:space="preserve">  </w:t>
      </w:r>
    </w:p>
  </w:footnote>
  <w:footnote w:id="255">
    <w:p w14:paraId="0A9E5A45" w14:textId="77777777" w:rsidR="00457673" w:rsidRPr="0040497C" w:rsidRDefault="00457673" w:rsidP="00457673">
      <w:pPr>
        <w:pStyle w:val="FootnoteText"/>
      </w:pPr>
      <w:r>
        <w:rPr>
          <w:rStyle w:val="FootnoteReference"/>
        </w:rPr>
        <w:footnoteRef/>
      </w:r>
      <w:r>
        <w:t xml:space="preserve"> </w:t>
      </w:r>
      <w:r>
        <w:rPr>
          <w:i/>
          <w:iCs/>
        </w:rPr>
        <w:t>Id.</w:t>
      </w:r>
      <w:r>
        <w:t xml:space="preserve">  </w:t>
      </w:r>
    </w:p>
  </w:footnote>
  <w:footnote w:id="256">
    <w:p w14:paraId="77F9C12F" w14:textId="77777777" w:rsidR="00457673" w:rsidRPr="00795078" w:rsidRDefault="00457673" w:rsidP="00457673">
      <w:pPr>
        <w:pStyle w:val="FootnoteText"/>
      </w:pPr>
      <w:r>
        <w:rPr>
          <w:rStyle w:val="FootnoteReference"/>
        </w:rPr>
        <w:footnoteRef/>
      </w:r>
      <w:r>
        <w:t xml:space="preserve"> </w:t>
      </w:r>
      <w:r>
        <w:rPr>
          <w:i/>
          <w:iCs/>
        </w:rPr>
        <w:t>Id.</w:t>
      </w:r>
      <w:r>
        <w:t xml:space="preserve">  </w:t>
      </w:r>
    </w:p>
  </w:footnote>
  <w:footnote w:id="257">
    <w:p w14:paraId="43752A26" w14:textId="77777777" w:rsidR="00457673" w:rsidRDefault="00457673" w:rsidP="00457673">
      <w:pPr>
        <w:pStyle w:val="FootnoteText"/>
      </w:pPr>
      <w:r>
        <w:rPr>
          <w:rStyle w:val="FootnoteReference"/>
        </w:rPr>
        <w:footnoteRef/>
      </w:r>
      <w:r>
        <w:t xml:space="preserve"> </w:t>
      </w:r>
      <w:r w:rsidR="004C2920">
        <w:rPr>
          <w:i/>
          <w:iCs/>
        </w:rPr>
        <w:t>Id.</w:t>
      </w:r>
      <w:r>
        <w:t xml:space="preserve"> at 2-5.</w:t>
      </w:r>
    </w:p>
  </w:footnote>
  <w:footnote w:id="258">
    <w:p w14:paraId="00DEDA3C" w14:textId="77777777" w:rsidR="00457673" w:rsidRDefault="00457673" w:rsidP="00457673">
      <w:pPr>
        <w:pStyle w:val="FootnoteText"/>
      </w:pPr>
      <w:r>
        <w:rPr>
          <w:rStyle w:val="FootnoteReference"/>
        </w:rPr>
        <w:footnoteRef/>
      </w:r>
      <w:r>
        <w:t xml:space="preserve"> </w:t>
      </w:r>
      <w:r w:rsidR="004C2920">
        <w:rPr>
          <w:i/>
          <w:iCs/>
        </w:rPr>
        <w:t>Id.</w:t>
      </w:r>
      <w:r>
        <w:t xml:space="preserve"> at 4-366.  </w:t>
      </w:r>
    </w:p>
  </w:footnote>
  <w:footnote w:id="259">
    <w:p w14:paraId="0066EEE4" w14:textId="77777777" w:rsidR="00690FEF" w:rsidRDefault="00690FEF" w:rsidP="00781601">
      <w:pPr>
        <w:pStyle w:val="FootnoteText"/>
        <w:widowControl/>
      </w:pPr>
      <w:r>
        <w:rPr>
          <w:rStyle w:val="FootnoteReference"/>
        </w:rPr>
        <w:footnoteRef/>
      </w:r>
      <w:r w:rsidR="00F01441">
        <w:t xml:space="preserve"> </w:t>
      </w:r>
      <w:r w:rsidR="00D2452E">
        <w:rPr>
          <w:i/>
          <w:iCs/>
        </w:rPr>
        <w:t>Id.</w:t>
      </w:r>
      <w:r w:rsidR="00D2452E">
        <w:t xml:space="preserve"> 4-359, Table 4.12.1-12 (</w:t>
      </w:r>
      <w:r w:rsidR="00F01441" w:rsidRPr="00F01441">
        <w:t>908</w:t>
      </w:r>
      <w:r w:rsidR="00D2452E">
        <w:t>.2</w:t>
      </w:r>
      <w:r w:rsidR="00F01441" w:rsidRPr="00F01441">
        <w:t xml:space="preserve"> t</w:t>
      </w:r>
      <w:r w:rsidR="007B3358">
        <w:t>ons per year (tpy)</w:t>
      </w:r>
      <w:r w:rsidR="00F01441" w:rsidRPr="00F01441">
        <w:t xml:space="preserve"> </w:t>
      </w:r>
      <w:r w:rsidR="00D2452E">
        <w:t>of NO</w:t>
      </w:r>
      <w:r w:rsidR="00DA157D">
        <w:t>x for the CP2 LNG Project);</w:t>
      </w:r>
      <w:r w:rsidR="00F01441" w:rsidRPr="00F01441">
        <w:t xml:space="preserve"> </w:t>
      </w:r>
      <w:r w:rsidR="00DA157D">
        <w:t>Commonwealth LNG, final EIS, Docket No. CP19-502-000, et al., at 4-224</w:t>
      </w:r>
      <w:r w:rsidR="00D6222F">
        <w:t>, Table 4.11.1-7</w:t>
      </w:r>
      <w:r w:rsidR="00DA157D">
        <w:t xml:space="preserve"> (issued Sept. 9, 2022) </w:t>
      </w:r>
      <w:r w:rsidR="00D6222F">
        <w:t>(</w:t>
      </w:r>
      <w:r w:rsidR="00F01441" w:rsidRPr="00F01441">
        <w:t xml:space="preserve">554 tpy </w:t>
      </w:r>
      <w:r w:rsidR="00D6222F">
        <w:t xml:space="preserve">of NOx </w:t>
      </w:r>
      <w:r w:rsidR="00F01441" w:rsidRPr="00F01441">
        <w:t>for Commonwealth</w:t>
      </w:r>
      <w:r w:rsidR="00D6222F">
        <w:t xml:space="preserve"> LNG).  </w:t>
      </w:r>
    </w:p>
  </w:footnote>
  <w:footnote w:id="260">
    <w:p w14:paraId="07E75210" w14:textId="77777777" w:rsidR="00457673" w:rsidRDefault="00457673" w:rsidP="00457673">
      <w:pPr>
        <w:pStyle w:val="FootnoteText"/>
      </w:pPr>
      <w:r>
        <w:rPr>
          <w:rStyle w:val="FootnoteReference"/>
        </w:rPr>
        <w:footnoteRef/>
      </w:r>
      <w:r>
        <w:t xml:space="preserve"> </w:t>
      </w:r>
      <w:r w:rsidRPr="008762CB">
        <w:rPr>
          <w:i/>
          <w:iCs/>
        </w:rPr>
        <w:t>Fla. Se. Connection, LLC</w:t>
      </w:r>
      <w:r w:rsidRPr="008762CB">
        <w:t>, 163 FERC ¶ 61,158</w:t>
      </w:r>
      <w:r w:rsidR="00B36EE9">
        <w:t>,</w:t>
      </w:r>
      <w:r>
        <w:t xml:space="preserve"> at P 42</w:t>
      </w:r>
      <w:r w:rsidR="00B36EE9">
        <w:t xml:space="preserve"> (2018)</w:t>
      </w:r>
      <w:r>
        <w:t xml:space="preserve">; </w:t>
      </w:r>
      <w:r w:rsidRPr="002E0E0A">
        <w:t xml:space="preserve">CEQ, </w:t>
      </w:r>
      <w:r w:rsidRPr="002E0E0A">
        <w:rPr>
          <w:i/>
        </w:rPr>
        <w:t xml:space="preserve">Considering Cumulative Effects Under the </w:t>
      </w:r>
      <w:r w:rsidR="00AB07C1">
        <w:rPr>
          <w:i/>
        </w:rPr>
        <w:t>Nat’l</w:t>
      </w:r>
      <w:r w:rsidRPr="002E0E0A">
        <w:rPr>
          <w:i/>
        </w:rPr>
        <w:t xml:space="preserve"> </w:t>
      </w:r>
      <w:r w:rsidR="00AB07C1">
        <w:rPr>
          <w:i/>
        </w:rPr>
        <w:t>Envt’l</w:t>
      </w:r>
      <w:r w:rsidRPr="002E0E0A">
        <w:rPr>
          <w:i/>
        </w:rPr>
        <w:t xml:space="preserve"> </w:t>
      </w:r>
      <w:r w:rsidR="00AB07C1">
        <w:rPr>
          <w:i/>
        </w:rPr>
        <w:t>Pol’y</w:t>
      </w:r>
      <w:r w:rsidRPr="002E0E0A">
        <w:rPr>
          <w:i/>
        </w:rPr>
        <w:t xml:space="preserve"> Act</w:t>
      </w:r>
      <w:r w:rsidRPr="002E0E0A">
        <w:t xml:space="preserve"> at 12-16 (Jan. 1997)</w:t>
      </w:r>
      <w:r>
        <w:t xml:space="preserve">; </w:t>
      </w:r>
      <w:r>
        <w:rPr>
          <w:i/>
          <w:iCs/>
        </w:rPr>
        <w:t>see also</w:t>
      </w:r>
      <w:r>
        <w:t xml:space="preserve"> final EIS at 4-506 </w:t>
      </w:r>
      <w:r w:rsidR="00E4298B">
        <w:t>to</w:t>
      </w:r>
      <w:r>
        <w:t xml:space="preserve"> 4-507</w:t>
      </w:r>
      <w:r w:rsidRPr="00D854FD">
        <w:t>.</w:t>
      </w:r>
    </w:p>
  </w:footnote>
  <w:footnote w:id="261">
    <w:p w14:paraId="5043D563" w14:textId="77777777" w:rsidR="00457673" w:rsidRPr="00C41C75" w:rsidRDefault="00457673" w:rsidP="00457673">
      <w:pPr>
        <w:pStyle w:val="FootnoteText"/>
      </w:pPr>
      <w:r>
        <w:rPr>
          <w:rStyle w:val="FootnoteReference"/>
        </w:rPr>
        <w:footnoteRef/>
      </w:r>
      <w:r>
        <w:t xml:space="preserve"> </w:t>
      </w:r>
      <w:r w:rsidR="00C41C75">
        <w:t>Final EIS at 4-508, Table 4.</w:t>
      </w:r>
      <w:r w:rsidR="00981FD4">
        <w:t>14-1.</w:t>
      </w:r>
    </w:p>
  </w:footnote>
  <w:footnote w:id="262">
    <w:p w14:paraId="555E136D" w14:textId="77777777" w:rsidR="00457673" w:rsidRPr="0008692D" w:rsidRDefault="00457673" w:rsidP="00457673">
      <w:pPr>
        <w:pStyle w:val="FootnoteText"/>
        <w:rPr>
          <w:i/>
          <w:iCs/>
        </w:rPr>
      </w:pPr>
      <w:r>
        <w:rPr>
          <w:rStyle w:val="FootnoteReference"/>
        </w:rPr>
        <w:footnoteRef/>
      </w:r>
      <w:r>
        <w:t xml:space="preserve"> </w:t>
      </w:r>
      <w:r>
        <w:rPr>
          <w:i/>
          <w:iCs/>
        </w:rPr>
        <w:t>Id.</w:t>
      </w:r>
      <w:r>
        <w:t xml:space="preserve"> </w:t>
      </w:r>
      <w:r w:rsidR="00973BE5">
        <w:t>a</w:t>
      </w:r>
      <w:r w:rsidR="00640F84">
        <w:t>t 4-552</w:t>
      </w:r>
      <w:r w:rsidR="005A2818">
        <w:t>.</w:t>
      </w:r>
      <w:r>
        <w:rPr>
          <w:i/>
          <w:iCs/>
        </w:rPr>
        <w:t xml:space="preserve">    </w:t>
      </w:r>
    </w:p>
  </w:footnote>
  <w:footnote w:id="263">
    <w:p w14:paraId="151C1BFC" w14:textId="77777777" w:rsidR="00457673" w:rsidRDefault="00457673" w:rsidP="00457673">
      <w:pPr>
        <w:pStyle w:val="FootnoteText"/>
      </w:pPr>
      <w:r>
        <w:rPr>
          <w:rStyle w:val="FootnoteReference"/>
        </w:rPr>
        <w:footnoteRef/>
      </w:r>
      <w:r>
        <w:t xml:space="preserve"> </w:t>
      </w:r>
      <w:r>
        <w:rPr>
          <w:i/>
          <w:iCs/>
        </w:rPr>
        <w:t>Id.</w:t>
      </w:r>
      <w:r w:rsidR="00867D85">
        <w:t xml:space="preserve">; </w:t>
      </w:r>
      <w:r w:rsidR="00867D85">
        <w:rPr>
          <w:i/>
          <w:iCs/>
        </w:rPr>
        <w:t>see also</w:t>
      </w:r>
      <w:r w:rsidR="00867D85">
        <w:t xml:space="preserve"> final supplemental EIS at </w:t>
      </w:r>
      <w:r w:rsidR="00C32511">
        <w:t xml:space="preserve">18 </w:t>
      </w:r>
      <w:r w:rsidR="0092439F">
        <w:t>&amp; n.</w:t>
      </w:r>
      <w:r w:rsidR="00C32511">
        <w:t>43</w:t>
      </w:r>
      <w:r w:rsidR="0092439F">
        <w:t xml:space="preserve"> </w:t>
      </w:r>
      <w:r w:rsidR="00867D85">
        <w:t>(“</w:t>
      </w:r>
      <w:r w:rsidR="00867D85" w:rsidRPr="00867D85">
        <w:t>The background sources inventory included all sources within the area of impact plus 15 kilometers and all major sources within the area of impact plus 20 kilometers (in either case the area of impact would not extend beyond a 50</w:t>
      </w:r>
      <w:r w:rsidR="00F761DC">
        <w:t>-</w:t>
      </w:r>
      <w:r w:rsidR="00867D85" w:rsidRPr="00867D85">
        <w:t>kilometer by 50</w:t>
      </w:r>
      <w:r w:rsidR="00F761DC">
        <w:t>-</w:t>
      </w:r>
      <w:r w:rsidR="00867D85" w:rsidRPr="00867D85">
        <w:t>kilometer grid from the LNG Terminal due to the accuracy constraints of dispersion models)</w:t>
      </w:r>
      <w:r w:rsidR="00535742">
        <w:t>.”)</w:t>
      </w:r>
      <w:r w:rsidR="00867D85" w:rsidRPr="00867D85">
        <w:t>.</w:t>
      </w:r>
    </w:p>
  </w:footnote>
  <w:footnote w:id="264">
    <w:p w14:paraId="726A4EC9" w14:textId="77777777" w:rsidR="00457673" w:rsidRDefault="00457673" w:rsidP="00457673">
      <w:pPr>
        <w:pStyle w:val="FootnoteText"/>
      </w:pPr>
      <w:r>
        <w:rPr>
          <w:rStyle w:val="FootnoteReference"/>
        </w:rPr>
        <w:footnoteRef/>
      </w:r>
      <w:r>
        <w:t xml:space="preserve"> Commonwealth LNG</w:t>
      </w:r>
      <w:r w:rsidR="000D57F5">
        <w:t>, final EIS, Docket No.</w:t>
      </w:r>
      <w:r>
        <w:t xml:space="preserve"> CP19-502-000</w:t>
      </w:r>
      <w:r w:rsidR="000D57F5">
        <w:t>, et al.</w:t>
      </w:r>
      <w:r>
        <w:t>, at 4-</w:t>
      </w:r>
      <w:r w:rsidR="002F1707">
        <w:t>229</w:t>
      </w:r>
      <w:r w:rsidR="001A70D0">
        <w:t xml:space="preserve"> to 4-231</w:t>
      </w:r>
      <w:r w:rsidR="002F1707">
        <w:t>, 4-</w:t>
      </w:r>
      <w:r w:rsidR="001B4627">
        <w:t>345</w:t>
      </w:r>
      <w:r w:rsidR="000D57F5">
        <w:t xml:space="preserve"> (Sept. 9, 2022)</w:t>
      </w:r>
      <w:r w:rsidR="006531F9">
        <w:t xml:space="preserve"> (</w:t>
      </w:r>
      <w:r w:rsidR="002F06BA">
        <w:t>using 50 km for NO</w:t>
      </w:r>
      <w:r w:rsidR="002F06BA" w:rsidRPr="002F06BA">
        <w:rPr>
          <w:vertAlign w:val="subscript"/>
        </w:rPr>
        <w:t>2</w:t>
      </w:r>
      <w:r w:rsidR="002F06BA">
        <w:t>)</w:t>
      </w:r>
      <w:r>
        <w:t>.</w:t>
      </w:r>
    </w:p>
  </w:footnote>
  <w:footnote w:id="265">
    <w:p w14:paraId="735D76B8" w14:textId="77777777" w:rsidR="00457673" w:rsidRDefault="00457673" w:rsidP="00457673">
      <w:pPr>
        <w:pStyle w:val="FootnoteText"/>
      </w:pPr>
      <w:r>
        <w:rPr>
          <w:rStyle w:val="FootnoteReference"/>
        </w:rPr>
        <w:footnoteRef/>
      </w:r>
      <w:r>
        <w:t xml:space="preserve"> </w:t>
      </w:r>
      <w:r w:rsidRPr="00972DA1">
        <w:rPr>
          <w:i/>
          <w:iCs/>
        </w:rPr>
        <w:t>Saguaro Connector Pipeline, LLC</w:t>
      </w:r>
      <w:r w:rsidRPr="00972DA1">
        <w:t>, 188 FERC ¶ 61,029</w:t>
      </w:r>
      <w:r>
        <w:t xml:space="preserve"> at P 104; </w:t>
      </w:r>
      <w:r w:rsidRPr="00B24226">
        <w:rPr>
          <w:i/>
          <w:iCs/>
        </w:rPr>
        <w:t>Tex. E. Transmission, LP</w:t>
      </w:r>
      <w:r w:rsidRPr="00B24226">
        <w:t>, 131 FERC ¶ 61,164, at P 67 (2010).</w:t>
      </w:r>
    </w:p>
  </w:footnote>
  <w:footnote w:id="266">
    <w:p w14:paraId="63A05ADE" w14:textId="77777777" w:rsidR="00457673" w:rsidRPr="00CD6E65" w:rsidRDefault="00457673" w:rsidP="00E93D95">
      <w:pPr>
        <w:pStyle w:val="FootnoteText"/>
        <w:widowControl/>
      </w:pPr>
      <w:r>
        <w:rPr>
          <w:rStyle w:val="FootnoteReference"/>
        </w:rPr>
        <w:footnoteRef/>
      </w:r>
      <w:r>
        <w:t xml:space="preserve"> </w:t>
      </w:r>
      <w:r w:rsidRPr="00CD6E65">
        <w:rPr>
          <w:i/>
          <w:iCs/>
        </w:rPr>
        <w:t>Algonquin Gas Transmission, LLC</w:t>
      </w:r>
      <w:r w:rsidRPr="00CD6E65">
        <w:t>, 158 FERC ¶ 61,061</w:t>
      </w:r>
      <w:r>
        <w:t>, at P 103</w:t>
      </w:r>
      <w:r w:rsidRPr="00CD6E65">
        <w:t xml:space="preserve"> (2017)</w:t>
      </w:r>
      <w:r>
        <w:t>;</w:t>
      </w:r>
      <w:r>
        <w:rPr>
          <w:i/>
          <w:iCs/>
        </w:rPr>
        <w:t xml:space="preserve"> </w:t>
      </w:r>
      <w:r w:rsidRPr="007911DB">
        <w:rPr>
          <w:i/>
          <w:iCs/>
        </w:rPr>
        <w:t>Algonquin Gas Transmission, LLC</w:t>
      </w:r>
      <w:r w:rsidRPr="007911DB">
        <w:t>, 154 FERC ¶ 61,048</w:t>
      </w:r>
      <w:r>
        <w:t xml:space="preserve"> at P 129.</w:t>
      </w:r>
    </w:p>
  </w:footnote>
  <w:footnote w:id="267">
    <w:p w14:paraId="19CAD164" w14:textId="77777777" w:rsidR="00457673" w:rsidRDefault="00457673" w:rsidP="00457673">
      <w:pPr>
        <w:pStyle w:val="FootnoteText"/>
      </w:pPr>
      <w:r>
        <w:rPr>
          <w:rStyle w:val="FootnoteReference"/>
        </w:rPr>
        <w:footnoteRef/>
      </w:r>
      <w:r>
        <w:t xml:space="preserve"> </w:t>
      </w:r>
      <w:r w:rsidRPr="00AF6734">
        <w:rPr>
          <w:i/>
          <w:iCs/>
        </w:rPr>
        <w:t>Kleppe v. Sierra Club</w:t>
      </w:r>
      <w:r w:rsidRPr="00AF6734">
        <w:t>, 427 U.S. 390, 41</w:t>
      </w:r>
      <w:r>
        <w:t xml:space="preserve">3-14 </w:t>
      </w:r>
      <w:r w:rsidRPr="00AF6734">
        <w:t>(1976)</w:t>
      </w:r>
      <w:r>
        <w:t xml:space="preserve"> (</w:t>
      </w:r>
      <w:r w:rsidRPr="002E0E0A">
        <w:rPr>
          <w:i/>
          <w:iCs/>
        </w:rPr>
        <w:t>Kleppe</w:t>
      </w:r>
      <w:r w:rsidRPr="00AF6734">
        <w:t>)</w:t>
      </w:r>
      <w:r>
        <w:t xml:space="preserve">; </w:t>
      </w:r>
      <w:r>
        <w:rPr>
          <w:i/>
          <w:iCs/>
        </w:rPr>
        <w:t xml:space="preserve">see also </w:t>
      </w:r>
      <w:r w:rsidRPr="00B6458B">
        <w:rPr>
          <w:i/>
          <w:iCs/>
        </w:rPr>
        <w:t>Neighbors of Cuddy Mountain v. Alexander</w:t>
      </w:r>
      <w:r w:rsidRPr="00B6458B">
        <w:t>, 303 F.3d 1059, 1071</w:t>
      </w:r>
      <w:r>
        <w:t xml:space="preserve"> &amp; n.6</w:t>
      </w:r>
      <w:r w:rsidRPr="00B6458B">
        <w:t xml:space="preserve"> (9th Cir. 2002)</w:t>
      </w:r>
      <w:r>
        <w:t xml:space="preserve"> (“we defer to the agency’s determination of the geographic scope of its analysis under NEPA”).  </w:t>
      </w:r>
    </w:p>
  </w:footnote>
  <w:footnote w:id="268">
    <w:p w14:paraId="14CF9B88" w14:textId="77777777" w:rsidR="00942CAE" w:rsidRDefault="00942CAE" w:rsidP="00942CAE">
      <w:pPr>
        <w:pStyle w:val="FootnoteText"/>
      </w:pPr>
      <w:r>
        <w:rPr>
          <w:rStyle w:val="FootnoteReference"/>
        </w:rPr>
        <w:footnoteRef/>
      </w:r>
      <w:r>
        <w:t xml:space="preserve"> </w:t>
      </w:r>
      <w:r w:rsidRPr="00942CAE">
        <w:t>The Commission is not required to consider cumulative effects or impacts that are outside the geographic scope of a project</w:t>
      </w:r>
      <w:r>
        <w:rPr>
          <w:i/>
          <w:iCs/>
        </w:rPr>
        <w:t xml:space="preserve">.  </w:t>
      </w:r>
      <w:r w:rsidRPr="00C32C06">
        <w:rPr>
          <w:i/>
          <w:iCs/>
        </w:rPr>
        <w:t>Sierra Club v. FERC</w:t>
      </w:r>
      <w:r w:rsidRPr="00D00A70">
        <w:t xml:space="preserve">, 38 F.4th </w:t>
      </w:r>
      <w:r w:rsidRPr="003940D6">
        <w:t>220, 234 (D.C. Cir. 2022)</w:t>
      </w:r>
      <w:r>
        <w:t xml:space="preserve"> </w:t>
      </w:r>
      <w:r w:rsidRPr="00D00A70">
        <w:t>(deferring to the Commission</w:t>
      </w:r>
      <w:r>
        <w:t>’</w:t>
      </w:r>
      <w:r w:rsidRPr="00D00A70">
        <w:t>s technical and scientific expertise where the Commission omitted certain projects outside the geographic scope of analysis);</w:t>
      </w:r>
      <w:r w:rsidR="00790549">
        <w:t xml:space="preserve"> </w:t>
      </w:r>
      <w:r w:rsidRPr="00D00A70">
        <w:rPr>
          <w:i/>
          <w:iCs/>
        </w:rPr>
        <w:t>Columbia Gas Transmission, LLC</w:t>
      </w:r>
      <w:r w:rsidRPr="00D00A70">
        <w:t xml:space="preserve">, 170 FERC ¶ 61,246, at </w:t>
      </w:r>
      <w:r w:rsidR="00781601">
        <w:t xml:space="preserve">P </w:t>
      </w:r>
      <w:r w:rsidRPr="00D00A70">
        <w:t>33 (2020)</w:t>
      </w:r>
      <w:r>
        <w:t xml:space="preserve"> </w:t>
      </w:r>
      <w:r w:rsidRPr="00D00A70">
        <w:t>(stating that certain issues were outside the geographic scope of the proposed project and thus correctly not part of the cumulative impacts analysis);</w:t>
      </w:r>
      <w:r>
        <w:t xml:space="preserve"> </w:t>
      </w:r>
      <w:r w:rsidRPr="00D00A70">
        <w:rPr>
          <w:i/>
          <w:iCs/>
        </w:rPr>
        <w:t>Fla. Se. Connection, LLC</w:t>
      </w:r>
      <w:r w:rsidRPr="00D00A70">
        <w:t xml:space="preserve">, </w:t>
      </w:r>
      <w:r w:rsidR="00781601">
        <w:t xml:space="preserve">         </w:t>
      </w:r>
      <w:r w:rsidRPr="00D00A70">
        <w:t>163 FERC ¶ 61,158 at P 43</w:t>
      </w:r>
      <w:r>
        <w:t xml:space="preserve"> </w:t>
      </w:r>
      <w:r w:rsidRPr="00D00A70">
        <w:t>(“Other projects and actions located outside a geographic scope are generally not considered because their potential to contribute to a cumulative impact diminishes with increasing distance from the proposed project. The EA appropriately omits them from the cumulative impact analysis.”).</w:t>
      </w:r>
    </w:p>
  </w:footnote>
  <w:footnote w:id="269">
    <w:p w14:paraId="7B8E7EB4" w14:textId="77777777" w:rsidR="00457673" w:rsidRDefault="00457673" w:rsidP="00457673">
      <w:pPr>
        <w:pStyle w:val="FootnoteText"/>
      </w:pPr>
      <w:r>
        <w:rPr>
          <w:rStyle w:val="FootnoteReference"/>
        </w:rPr>
        <w:footnoteRef/>
      </w:r>
      <w:r>
        <w:t xml:space="preserve"> Final EIS at 1-17</w:t>
      </w:r>
      <w:r w:rsidR="00547121">
        <w:t xml:space="preserve">; final supplemental EIS at </w:t>
      </w:r>
      <w:r w:rsidR="00190883">
        <w:t>20</w:t>
      </w:r>
      <w:r>
        <w:t xml:space="preserve">.  </w:t>
      </w:r>
    </w:p>
  </w:footnote>
  <w:footnote w:id="270">
    <w:p w14:paraId="249FB87A" w14:textId="77777777" w:rsidR="00457673" w:rsidRDefault="00457673" w:rsidP="00457673">
      <w:pPr>
        <w:pStyle w:val="FootnoteText"/>
      </w:pPr>
      <w:r>
        <w:rPr>
          <w:rStyle w:val="FootnoteReference"/>
        </w:rPr>
        <w:footnoteRef/>
      </w:r>
      <w:r>
        <w:t xml:space="preserve"> </w:t>
      </w:r>
      <w:r w:rsidR="00190883">
        <w:t>Final EIS</w:t>
      </w:r>
      <w:r>
        <w:t xml:space="preserve"> at 4-509.  The three additional projects included in the cumulative impacts table were the Belle Savanne, Carlyss Place, and Graywood residential subdivision projects.  </w:t>
      </w:r>
      <w:r>
        <w:rPr>
          <w:i/>
          <w:iCs/>
        </w:rPr>
        <w:t>See</w:t>
      </w:r>
      <w:r>
        <w:t xml:space="preserve"> </w:t>
      </w:r>
      <w:r>
        <w:rPr>
          <w:i/>
          <w:iCs/>
        </w:rPr>
        <w:t>id.</w:t>
      </w:r>
      <w:r>
        <w:t xml:space="preserve"> at 4-516 </w:t>
      </w:r>
      <w:r w:rsidR="00F57340">
        <w:t>to</w:t>
      </w:r>
      <w:r>
        <w:t xml:space="preserve"> 4-517</w:t>
      </w:r>
      <w:r w:rsidR="00FA1FB6">
        <w:t>.</w:t>
      </w:r>
    </w:p>
  </w:footnote>
  <w:footnote w:id="271">
    <w:p w14:paraId="1E74E82E" w14:textId="77777777" w:rsidR="00457673" w:rsidRDefault="00457673" w:rsidP="00457673">
      <w:pPr>
        <w:pStyle w:val="FootnoteText"/>
      </w:pPr>
      <w:r>
        <w:rPr>
          <w:rStyle w:val="FootnoteReference"/>
        </w:rPr>
        <w:footnoteRef/>
      </w:r>
      <w:r>
        <w:t xml:space="preserve"> </w:t>
      </w:r>
      <w:r>
        <w:rPr>
          <w:i/>
          <w:iCs/>
        </w:rPr>
        <w:t>Id.</w:t>
      </w:r>
      <w:r>
        <w:t xml:space="preserve"> at 4-509.</w:t>
      </w:r>
    </w:p>
  </w:footnote>
  <w:footnote w:id="272">
    <w:p w14:paraId="05FBE79C" w14:textId="77777777" w:rsidR="00C667DE" w:rsidRDefault="00C667DE">
      <w:pPr>
        <w:pStyle w:val="FootnoteText"/>
      </w:pPr>
      <w:r>
        <w:rPr>
          <w:rStyle w:val="FootnoteReference"/>
        </w:rPr>
        <w:footnoteRef/>
      </w:r>
      <w:r>
        <w:t xml:space="preserve"> </w:t>
      </w:r>
      <w:r w:rsidRPr="005F46EB">
        <w:rPr>
          <w:i/>
          <w:iCs/>
        </w:rPr>
        <w:t>See</w:t>
      </w:r>
      <w:r w:rsidRPr="005F46EB">
        <w:t xml:space="preserve"> Petitioners’ Rehearing Request at 161-62</w:t>
      </w:r>
      <w:r>
        <w:t xml:space="preserve"> (arguing that </w:t>
      </w:r>
      <w:r w:rsidR="00FD6495" w:rsidRPr="00FD6495">
        <w:t>the Commission’s analysis fail</w:t>
      </w:r>
      <w:r w:rsidR="00FD6495">
        <w:t>ed</w:t>
      </w:r>
      <w:r w:rsidR="00FD6495" w:rsidRPr="00FD6495">
        <w:t xml:space="preserve"> to account for the reasonably foreseeable and cumulative air pollution impacts, which it asserts affects the Commission’s environmental justice analysis</w:t>
      </w:r>
      <w:r w:rsidR="00FD6495">
        <w:t xml:space="preserve">). </w:t>
      </w:r>
    </w:p>
  </w:footnote>
  <w:footnote w:id="273">
    <w:p w14:paraId="2BF0F64F" w14:textId="77777777" w:rsidR="001276F4" w:rsidRDefault="001276F4" w:rsidP="001276F4">
      <w:pPr>
        <w:pStyle w:val="FootnoteText"/>
      </w:pPr>
      <w:r>
        <w:rPr>
          <w:rStyle w:val="FootnoteReference"/>
        </w:rPr>
        <w:footnoteRef/>
      </w:r>
      <w:r>
        <w:t xml:space="preserve"> </w:t>
      </w:r>
      <w:r>
        <w:rPr>
          <w:i/>
          <w:iCs/>
        </w:rPr>
        <w:t>Id.</w:t>
      </w:r>
      <w:r>
        <w:t xml:space="preserve"> (citing </w:t>
      </w:r>
      <w:r w:rsidR="00C4750D">
        <w:t xml:space="preserve">EPA, </w:t>
      </w:r>
      <w:r w:rsidRPr="00EB717D">
        <w:rPr>
          <w:i/>
          <w:iCs/>
        </w:rPr>
        <w:t>P</w:t>
      </w:r>
      <w:r w:rsidRPr="002E0E0A">
        <w:rPr>
          <w:i/>
          <w:iCs/>
        </w:rPr>
        <w:t xml:space="preserve">rimary </w:t>
      </w:r>
      <w:r w:rsidR="00AB07C1">
        <w:rPr>
          <w:i/>
          <w:iCs/>
        </w:rPr>
        <w:t>Nat’l</w:t>
      </w:r>
      <w:r w:rsidRPr="002E0E0A">
        <w:rPr>
          <w:i/>
          <w:iCs/>
        </w:rPr>
        <w:t xml:space="preserve"> Ambient Air Quality Standards for Nitrogen Dioxide</w:t>
      </w:r>
      <w:r w:rsidRPr="0065569B">
        <w:t>, 75 F</w:t>
      </w:r>
      <w:r w:rsidR="00924AC1">
        <w:t xml:space="preserve">ed. </w:t>
      </w:r>
      <w:r w:rsidRPr="0065569B">
        <w:t>R</w:t>
      </w:r>
      <w:r w:rsidR="00924AC1">
        <w:t>eg.</w:t>
      </w:r>
      <w:r w:rsidRPr="0065569B">
        <w:t xml:space="preserve"> 6474</w:t>
      </w:r>
      <w:r w:rsidRPr="002E0E0A">
        <w:t>, 6480</w:t>
      </w:r>
      <w:r w:rsidRPr="002F1CEC">
        <w:t xml:space="preserve"> (Feb. 9, 2010)</w:t>
      </w:r>
      <w:r>
        <w:t xml:space="preserve">); </w:t>
      </w:r>
      <w:r>
        <w:rPr>
          <w:i/>
          <w:iCs/>
        </w:rPr>
        <w:t>see also id.</w:t>
      </w:r>
      <w:r>
        <w:t xml:space="preserve"> at 158-59 (</w:t>
      </w:r>
      <w:r w:rsidRPr="003B2AA7">
        <w:t>maintain</w:t>
      </w:r>
      <w:r>
        <w:t>ing</w:t>
      </w:r>
      <w:r w:rsidRPr="003B2AA7">
        <w:t xml:space="preserve"> that although NAAQS for ozone is 70 part</w:t>
      </w:r>
      <w:r w:rsidR="00492B43">
        <w:t>s</w:t>
      </w:r>
      <w:r w:rsidRPr="003B2AA7">
        <w:t xml:space="preserve"> per billion, EPA has recognized that ozone levels as low as 60 parts per billion can have adverse impacts</w:t>
      </w:r>
      <w:r>
        <w:t xml:space="preserve">). </w:t>
      </w:r>
    </w:p>
  </w:footnote>
  <w:footnote w:id="274">
    <w:p w14:paraId="5625F5BC" w14:textId="77777777" w:rsidR="001276F4" w:rsidRDefault="001276F4" w:rsidP="001276F4">
      <w:pPr>
        <w:pStyle w:val="FootnoteText"/>
      </w:pPr>
      <w:r>
        <w:rPr>
          <w:rStyle w:val="FootnoteReference"/>
        </w:rPr>
        <w:footnoteRef/>
      </w:r>
      <w:r>
        <w:t xml:space="preserve"> </w:t>
      </w:r>
      <w:r>
        <w:rPr>
          <w:i/>
          <w:iCs/>
        </w:rPr>
        <w:t>Id.</w:t>
      </w:r>
      <w:r>
        <w:t xml:space="preserve"> at 84; </w:t>
      </w:r>
      <w:r>
        <w:rPr>
          <w:i/>
          <w:iCs/>
        </w:rPr>
        <w:t>see also id</w:t>
      </w:r>
      <w:r>
        <w:t xml:space="preserve">. (explaining that </w:t>
      </w:r>
      <w:r w:rsidR="007446E5">
        <w:t>i</w:t>
      </w:r>
      <w:r w:rsidRPr="002E0E0A">
        <w:t>ntervenor Travis Dardar</w:t>
      </w:r>
      <w:r>
        <w:t xml:space="preserve"> was forced to relocate due to health consequences and the CP2 LNG Project)</w:t>
      </w:r>
      <w:r w:rsidR="00DF2F15">
        <w:t xml:space="preserve">; </w:t>
      </w:r>
      <w:r w:rsidR="00DF2F15" w:rsidRPr="005F46EB">
        <w:rPr>
          <w:i/>
          <w:iCs/>
        </w:rPr>
        <w:t>see also</w:t>
      </w:r>
      <w:r w:rsidR="00DF2F15" w:rsidRPr="005F46EB">
        <w:t xml:space="preserve"> </w:t>
      </w:r>
      <w:r w:rsidR="00DF2F15" w:rsidRPr="005F46EB">
        <w:rPr>
          <w:i/>
          <w:iCs/>
        </w:rPr>
        <w:t>id.</w:t>
      </w:r>
      <w:r w:rsidR="00DF2F15" w:rsidRPr="005F46EB">
        <w:t xml:space="preserve"> at 156-59, 162</w:t>
      </w:r>
      <w:r>
        <w:t xml:space="preserve"> </w:t>
      </w:r>
      <w:r w:rsidR="00DF2F15">
        <w:t xml:space="preserve">(arguing that the Commission failed to take a hard look </w:t>
      </w:r>
      <w:r w:rsidR="000E3B4A">
        <w:t xml:space="preserve">at the impacts to air quality in environmental justice communities).  </w:t>
      </w:r>
    </w:p>
  </w:footnote>
  <w:footnote w:id="275">
    <w:p w14:paraId="0951209D" w14:textId="77777777" w:rsidR="001276F4" w:rsidRDefault="001276F4" w:rsidP="001276F4">
      <w:pPr>
        <w:pStyle w:val="FootnoteText"/>
      </w:pPr>
      <w:r>
        <w:rPr>
          <w:rStyle w:val="FootnoteReference"/>
        </w:rPr>
        <w:footnoteRef/>
      </w:r>
      <w:r>
        <w:t xml:space="preserve"> Final EIS at 4-334</w:t>
      </w:r>
      <w:r w:rsidR="00D23FAD">
        <w:t>;</w:t>
      </w:r>
      <w:r w:rsidR="00D23FAD" w:rsidRPr="00D23FAD">
        <w:t xml:space="preserve"> </w:t>
      </w:r>
      <w:r w:rsidR="00030D6E">
        <w:t>f</w:t>
      </w:r>
      <w:r w:rsidR="00D23FAD" w:rsidRPr="00030D6E">
        <w:t>inal</w:t>
      </w:r>
      <w:r w:rsidR="00D23FAD">
        <w:t xml:space="preserve"> supplemental EIS at </w:t>
      </w:r>
      <w:r w:rsidR="00C52662">
        <w:t>11</w:t>
      </w:r>
      <w:r w:rsidR="00B472A5">
        <w:t>.</w:t>
      </w:r>
    </w:p>
  </w:footnote>
  <w:footnote w:id="276">
    <w:p w14:paraId="085CEF6B" w14:textId="77777777" w:rsidR="001276F4" w:rsidRPr="00D23FAD" w:rsidRDefault="001276F4" w:rsidP="001276F4">
      <w:pPr>
        <w:pStyle w:val="FootnoteText"/>
      </w:pPr>
      <w:r>
        <w:rPr>
          <w:rStyle w:val="FootnoteReference"/>
        </w:rPr>
        <w:footnoteRef/>
      </w:r>
      <w:r>
        <w:t xml:space="preserve"> </w:t>
      </w:r>
      <w:r w:rsidR="00D23FAD">
        <w:t>Final EIS at 4-334;</w:t>
      </w:r>
      <w:r w:rsidR="00D23FAD" w:rsidRPr="00D23FAD">
        <w:t xml:space="preserve"> </w:t>
      </w:r>
      <w:r w:rsidR="00030D6E">
        <w:t>f</w:t>
      </w:r>
      <w:r w:rsidR="00D23FAD">
        <w:t xml:space="preserve">inal supplemental EIS at </w:t>
      </w:r>
      <w:r w:rsidR="00C52662">
        <w:t>11</w:t>
      </w:r>
      <w:r w:rsidR="00B472A5">
        <w:t>.</w:t>
      </w:r>
    </w:p>
  </w:footnote>
  <w:footnote w:id="277">
    <w:p w14:paraId="7059A12D" w14:textId="77777777" w:rsidR="001276F4" w:rsidRPr="00D145C9" w:rsidRDefault="001276F4" w:rsidP="001276F4">
      <w:pPr>
        <w:pStyle w:val="FootnoteText"/>
      </w:pPr>
      <w:r>
        <w:rPr>
          <w:rStyle w:val="FootnoteReference"/>
        </w:rPr>
        <w:footnoteRef/>
      </w:r>
      <w:r>
        <w:t xml:space="preserve"> </w:t>
      </w:r>
      <w:r w:rsidR="00D145C9">
        <w:t>Final EIS at 4-334;</w:t>
      </w:r>
      <w:r w:rsidR="00D145C9" w:rsidRPr="00D23FAD">
        <w:t xml:space="preserve"> </w:t>
      </w:r>
      <w:r w:rsidR="00030D6E">
        <w:t>f</w:t>
      </w:r>
      <w:r w:rsidR="00D145C9">
        <w:t xml:space="preserve">inal supplemental EIS at </w:t>
      </w:r>
      <w:r w:rsidR="00C52662">
        <w:t>11</w:t>
      </w:r>
      <w:r w:rsidR="00B472A5">
        <w:t>.</w:t>
      </w:r>
    </w:p>
  </w:footnote>
  <w:footnote w:id="278">
    <w:p w14:paraId="39893C3A" w14:textId="77777777" w:rsidR="001276F4" w:rsidRPr="00D145C9" w:rsidRDefault="001276F4" w:rsidP="001276F4">
      <w:pPr>
        <w:pStyle w:val="FootnoteText"/>
      </w:pPr>
      <w:r>
        <w:rPr>
          <w:rStyle w:val="FootnoteReference"/>
        </w:rPr>
        <w:footnoteRef/>
      </w:r>
      <w:r>
        <w:t xml:space="preserve"> </w:t>
      </w:r>
      <w:r w:rsidR="00D145C9">
        <w:t>Final EIS at 4-334;</w:t>
      </w:r>
      <w:r w:rsidR="00D145C9" w:rsidRPr="00D23FAD">
        <w:t xml:space="preserve"> </w:t>
      </w:r>
      <w:r w:rsidR="003C7489">
        <w:t>f</w:t>
      </w:r>
      <w:r w:rsidR="00D145C9">
        <w:t xml:space="preserve">inal supplemental EIS at </w:t>
      </w:r>
      <w:r w:rsidR="00C52662">
        <w:t>12</w:t>
      </w:r>
      <w:r w:rsidR="00B472A5">
        <w:t>.</w:t>
      </w:r>
    </w:p>
  </w:footnote>
  <w:footnote w:id="279">
    <w:p w14:paraId="60D840BB" w14:textId="77777777" w:rsidR="001276F4" w:rsidRPr="00D145C9" w:rsidRDefault="001276F4" w:rsidP="001276F4">
      <w:pPr>
        <w:pStyle w:val="FootnoteText"/>
      </w:pPr>
      <w:r>
        <w:rPr>
          <w:rStyle w:val="FootnoteReference"/>
        </w:rPr>
        <w:footnoteRef/>
      </w:r>
      <w:r>
        <w:t xml:space="preserve"> </w:t>
      </w:r>
      <w:r w:rsidR="00D145C9">
        <w:t>Final EIS at 4-334;</w:t>
      </w:r>
      <w:r w:rsidR="00D145C9" w:rsidRPr="00D23FAD">
        <w:t xml:space="preserve"> </w:t>
      </w:r>
      <w:r w:rsidR="003C7489">
        <w:t>f</w:t>
      </w:r>
      <w:r w:rsidR="00D145C9">
        <w:t xml:space="preserve">inal supplemental EIS at </w:t>
      </w:r>
      <w:r w:rsidR="00C52662">
        <w:t>12</w:t>
      </w:r>
      <w:r w:rsidR="00B472A5">
        <w:t>.</w:t>
      </w:r>
    </w:p>
  </w:footnote>
  <w:footnote w:id="280">
    <w:p w14:paraId="63382098" w14:textId="77777777" w:rsidR="001276F4" w:rsidRDefault="001276F4" w:rsidP="001276F4">
      <w:pPr>
        <w:pStyle w:val="FootnoteText"/>
      </w:pPr>
      <w:r>
        <w:rPr>
          <w:rStyle w:val="FootnoteReference"/>
        </w:rPr>
        <w:footnoteRef/>
      </w:r>
      <w:r>
        <w:t xml:space="preserve"> </w:t>
      </w:r>
      <w:r>
        <w:rPr>
          <w:i/>
          <w:iCs/>
        </w:rPr>
        <w:t>See</w:t>
      </w:r>
      <w:r>
        <w:rPr>
          <w:i/>
        </w:rPr>
        <w:t xml:space="preserve"> </w:t>
      </w:r>
      <w:r w:rsidRPr="00543071">
        <w:rPr>
          <w:i/>
          <w:iCs/>
        </w:rPr>
        <w:t>Algonquin Gas Transmission, LLC</w:t>
      </w:r>
      <w:r w:rsidRPr="00543071">
        <w:t>, 154 FERC ¶ 61,048</w:t>
      </w:r>
      <w:r>
        <w:t xml:space="preserve"> at P 182.</w:t>
      </w:r>
    </w:p>
  </w:footnote>
  <w:footnote w:id="281">
    <w:p w14:paraId="7B475F2D" w14:textId="77777777" w:rsidR="001276F4" w:rsidRDefault="001276F4" w:rsidP="001276F4">
      <w:pPr>
        <w:pStyle w:val="FootnoteText"/>
      </w:pPr>
      <w:r>
        <w:rPr>
          <w:rStyle w:val="FootnoteReference"/>
        </w:rPr>
        <w:footnoteRef/>
      </w:r>
      <w:r>
        <w:t xml:space="preserve"> </w:t>
      </w:r>
      <w:r>
        <w:rPr>
          <w:i/>
          <w:iCs/>
        </w:rPr>
        <w:t>See id.</w:t>
      </w:r>
      <w:r>
        <w:t xml:space="preserve">  </w:t>
      </w:r>
    </w:p>
  </w:footnote>
  <w:footnote w:id="282">
    <w:p w14:paraId="7C1B3A21" w14:textId="77777777" w:rsidR="009F4282" w:rsidRDefault="009F4282" w:rsidP="009F4282">
      <w:pPr>
        <w:pStyle w:val="FootnoteText"/>
      </w:pPr>
      <w:r>
        <w:rPr>
          <w:rStyle w:val="FootnoteReference"/>
        </w:rPr>
        <w:footnoteRef/>
      </w:r>
      <w:r>
        <w:t xml:space="preserve"> </w:t>
      </w:r>
      <w:r w:rsidR="009D0D35">
        <w:t xml:space="preserve">EPA, </w:t>
      </w:r>
      <w:r w:rsidRPr="002E0E0A">
        <w:rPr>
          <w:i/>
        </w:rPr>
        <w:t xml:space="preserve">Review of the Primary </w:t>
      </w:r>
      <w:r w:rsidR="00AB07C1">
        <w:rPr>
          <w:i/>
        </w:rPr>
        <w:t>Nat’l</w:t>
      </w:r>
      <w:r w:rsidRPr="002E0E0A">
        <w:rPr>
          <w:i/>
        </w:rPr>
        <w:t xml:space="preserve"> Ambient Air Quality Standards for Oxides of Nitrogen</w:t>
      </w:r>
      <w:r w:rsidRPr="00311F7F">
        <w:t xml:space="preserve">, 83 Fed. Reg. 17226, 17230-17274 (Apr. 18, 2018) (codified at 40 C.F.R. §§ 50 </w:t>
      </w:r>
      <w:r w:rsidRPr="00AD2C34">
        <w:rPr>
          <w:i/>
          <w:iCs/>
        </w:rPr>
        <w:t>et seq.</w:t>
      </w:r>
      <w:r w:rsidRPr="00311F7F">
        <w:t xml:space="preserve"> (202</w:t>
      </w:r>
      <w:r>
        <w:t>4</w:t>
      </w:r>
      <w:r w:rsidRPr="00311F7F">
        <w:t>)).</w:t>
      </w:r>
    </w:p>
  </w:footnote>
  <w:footnote w:id="283">
    <w:p w14:paraId="3B91FCB3" w14:textId="77777777" w:rsidR="009F4282" w:rsidRDefault="009F4282" w:rsidP="009F4282">
      <w:pPr>
        <w:pStyle w:val="FootnoteText"/>
      </w:pPr>
      <w:r>
        <w:rPr>
          <w:rStyle w:val="FootnoteReference"/>
        </w:rPr>
        <w:footnoteRef/>
      </w:r>
      <w:r>
        <w:t xml:space="preserve"> </w:t>
      </w:r>
      <w:r>
        <w:rPr>
          <w:i/>
          <w:iCs/>
        </w:rPr>
        <w:t>See</w:t>
      </w:r>
      <w:r>
        <w:rPr>
          <w:i/>
        </w:rPr>
        <w:t xml:space="preserve"> </w:t>
      </w:r>
      <w:r w:rsidRPr="00906772">
        <w:rPr>
          <w:i/>
          <w:iCs/>
        </w:rPr>
        <w:t>Millennium Pipeline Co.</w:t>
      </w:r>
      <w:r w:rsidRPr="00164DF9">
        <w:t>, 161 FERC ¶ 61,229</w:t>
      </w:r>
      <w:r>
        <w:t xml:space="preserve"> at P 135 (citing </w:t>
      </w:r>
      <w:r w:rsidRPr="000C0DAA">
        <w:t>42 U.S.</w:t>
      </w:r>
      <w:r>
        <w:t>C.</w:t>
      </w:r>
      <w:r w:rsidRPr="000C0DAA">
        <w:t xml:space="preserve"> §</w:t>
      </w:r>
      <w:r>
        <w:t> </w:t>
      </w:r>
      <w:r w:rsidRPr="000C0DAA">
        <w:t>7409</w:t>
      </w:r>
      <w:r>
        <w:t>)</w:t>
      </w:r>
      <w:r w:rsidRPr="000C0DAA">
        <w:t>.</w:t>
      </w:r>
    </w:p>
  </w:footnote>
  <w:footnote w:id="284">
    <w:p w14:paraId="6A982A7A" w14:textId="77777777" w:rsidR="009F4282" w:rsidRPr="000410FA" w:rsidRDefault="009F4282" w:rsidP="009F4282">
      <w:pPr>
        <w:pStyle w:val="FootnoteText"/>
      </w:pPr>
      <w:r>
        <w:rPr>
          <w:rStyle w:val="FootnoteReference"/>
        </w:rPr>
        <w:footnoteRef/>
      </w:r>
      <w:r>
        <w:rPr>
          <w:i/>
          <w:iCs/>
        </w:rPr>
        <w:t xml:space="preserve"> See id. </w:t>
      </w:r>
      <w:r>
        <w:t xml:space="preserve"> </w:t>
      </w:r>
    </w:p>
  </w:footnote>
  <w:footnote w:id="285">
    <w:p w14:paraId="6AA28726" w14:textId="77777777" w:rsidR="0017631B" w:rsidRDefault="0017631B" w:rsidP="000B0528">
      <w:pPr>
        <w:pStyle w:val="FootnoteText"/>
      </w:pPr>
      <w:r>
        <w:rPr>
          <w:rStyle w:val="FootnoteReference"/>
        </w:rPr>
        <w:footnoteRef/>
      </w:r>
      <w:r>
        <w:t xml:space="preserve"> Final supplemental EIS at </w:t>
      </w:r>
      <w:r w:rsidR="00265763">
        <w:t>12-13</w:t>
      </w:r>
      <w:r w:rsidR="00B472A5">
        <w:t xml:space="preserve"> </w:t>
      </w:r>
      <w:r>
        <w:t>(citing</w:t>
      </w:r>
      <w:r w:rsidR="000B0528" w:rsidRPr="000B0528">
        <w:t xml:space="preserve"> La. Admin. Code </w:t>
      </w:r>
      <w:r w:rsidR="006978CE">
        <w:t xml:space="preserve">tit. </w:t>
      </w:r>
      <w:r w:rsidR="00E65EAC">
        <w:t>33</w:t>
      </w:r>
      <w:r w:rsidR="006978CE">
        <w:t>,</w:t>
      </w:r>
      <w:r w:rsidR="00262DC2">
        <w:t xml:space="preserve"> </w:t>
      </w:r>
      <w:r w:rsidR="000B0528" w:rsidRPr="000B0528">
        <w:t>P</w:t>
      </w:r>
      <w:r w:rsidR="008B22D4">
        <w:t>art</w:t>
      </w:r>
      <w:r w:rsidR="000B0528" w:rsidRPr="000B0528">
        <w:t xml:space="preserve"> III,</w:t>
      </w:r>
      <w:r w:rsidR="000B0528">
        <w:t xml:space="preserve"> </w:t>
      </w:r>
      <w:r w:rsidR="00262DC2">
        <w:t>§</w:t>
      </w:r>
      <w:r w:rsidR="00B261B3">
        <w:t>§</w:t>
      </w:r>
      <w:r w:rsidR="00262DC2">
        <w:t> </w:t>
      </w:r>
      <w:r w:rsidR="000B0528" w:rsidRPr="000B0528">
        <w:t>711</w:t>
      </w:r>
      <w:r w:rsidR="008E666A">
        <w:t xml:space="preserve">).  </w:t>
      </w:r>
    </w:p>
  </w:footnote>
  <w:footnote w:id="286">
    <w:p w14:paraId="7827AE2B" w14:textId="77777777" w:rsidR="001276F4" w:rsidRDefault="001276F4" w:rsidP="001276F4">
      <w:pPr>
        <w:pStyle w:val="FootnoteText"/>
      </w:pPr>
      <w:r>
        <w:rPr>
          <w:rStyle w:val="FootnoteReference"/>
        </w:rPr>
        <w:footnoteRef/>
      </w:r>
      <w:r>
        <w:t xml:space="preserve"> </w:t>
      </w:r>
      <w:r w:rsidR="0070526A">
        <w:t xml:space="preserve">Final EIS </w:t>
      </w:r>
      <w:r>
        <w:t xml:space="preserve">at 5-21 </w:t>
      </w:r>
      <w:r w:rsidR="009A1039">
        <w:t>to</w:t>
      </w:r>
      <w:r>
        <w:t xml:space="preserve"> 5-22</w:t>
      </w:r>
      <w:r w:rsidR="000B2F07">
        <w:t xml:space="preserve">; final supplemental EIS at </w:t>
      </w:r>
      <w:r w:rsidR="00272D1E">
        <w:t>15-20</w:t>
      </w:r>
      <w:r w:rsidR="007E7FA8">
        <w:t xml:space="preserve">.   </w:t>
      </w:r>
    </w:p>
  </w:footnote>
  <w:footnote w:id="287">
    <w:p w14:paraId="2551A102" w14:textId="77777777" w:rsidR="00912159" w:rsidRDefault="00912159" w:rsidP="00796B6D">
      <w:pPr>
        <w:pStyle w:val="FootnoteText"/>
      </w:pPr>
      <w:r>
        <w:rPr>
          <w:rStyle w:val="FootnoteReference"/>
        </w:rPr>
        <w:footnoteRef/>
      </w:r>
      <w:r>
        <w:t xml:space="preserve"> </w:t>
      </w:r>
      <w:r w:rsidR="006C2E9A" w:rsidRPr="005F46EB">
        <w:rPr>
          <w:i/>
          <w:iCs/>
        </w:rPr>
        <w:t>Cmtys</w:t>
      </w:r>
      <w:r w:rsidR="00796B6D" w:rsidRPr="005F46EB">
        <w:rPr>
          <w:i/>
          <w:iCs/>
        </w:rPr>
        <w:t>.</w:t>
      </w:r>
      <w:r w:rsidR="006C2E9A" w:rsidRPr="005F46EB">
        <w:rPr>
          <w:i/>
          <w:iCs/>
        </w:rPr>
        <w:t xml:space="preserve"> Against Runway Expansion, Inc. v. F.A.A.</w:t>
      </w:r>
      <w:r w:rsidR="006C2E9A" w:rsidRPr="006C2E9A">
        <w:t>, 355 F.3d 678, 689 (D.C. Cir. 2004)</w:t>
      </w:r>
      <w:r w:rsidR="00796B6D">
        <w:t xml:space="preserve">.  </w:t>
      </w:r>
      <w:r>
        <w:rPr>
          <w:i/>
          <w:iCs/>
        </w:rPr>
        <w:t>See Sierra Club v. FERC</w:t>
      </w:r>
      <w:r>
        <w:t xml:space="preserve">, 38 F.4th </w:t>
      </w:r>
      <w:r w:rsidR="004E5DA1">
        <w:t>at</w:t>
      </w:r>
      <w:r>
        <w:t xml:space="preserve"> 228 (holding that “the Commission’s judgment is supported by substantial evidence and that the methodology used in arriving at that judgment is either consistent with past practice or adequately justified”).</w:t>
      </w:r>
    </w:p>
  </w:footnote>
  <w:footnote w:id="288">
    <w:p w14:paraId="479A8718" w14:textId="77777777" w:rsidR="00912159" w:rsidRPr="0095460C" w:rsidRDefault="00912159" w:rsidP="00912159">
      <w:pPr>
        <w:pStyle w:val="FootnoteText"/>
        <w:rPr>
          <w:i/>
          <w:iCs/>
        </w:rPr>
      </w:pPr>
      <w:r>
        <w:rPr>
          <w:rStyle w:val="FootnoteReference"/>
        </w:rPr>
        <w:footnoteRef/>
      </w:r>
      <w:r>
        <w:t xml:space="preserve"> </w:t>
      </w:r>
      <w:r w:rsidRPr="00947BAB">
        <w:rPr>
          <w:i/>
        </w:rPr>
        <w:t>Sabal Trail</w:t>
      </w:r>
      <w:r w:rsidRPr="000C6B73">
        <w:t>, 867 F.3d at 1370, n.7</w:t>
      </w:r>
      <w:r>
        <w:t xml:space="preserve">; </w:t>
      </w:r>
      <w:r w:rsidRPr="007632C3">
        <w:rPr>
          <w:i/>
          <w:iCs/>
        </w:rPr>
        <w:t>Din</w:t>
      </w:r>
      <w:r w:rsidR="00273C32">
        <w:rPr>
          <w:i/>
          <w:iCs/>
        </w:rPr>
        <w:t>é</w:t>
      </w:r>
      <w:r w:rsidRPr="007632C3">
        <w:rPr>
          <w:i/>
          <w:iCs/>
        </w:rPr>
        <w:t xml:space="preserve"> Citizens</w:t>
      </w:r>
      <w:r w:rsidRPr="007632C3">
        <w:t xml:space="preserve">, 59 F.4th </w:t>
      </w:r>
      <w:r w:rsidR="004E5DA1">
        <w:t>at</w:t>
      </w:r>
      <w:r w:rsidRPr="007632C3">
        <w:t xml:space="preserve"> 1046</w:t>
      </w:r>
      <w:r w:rsidR="001C1A8D">
        <w:t xml:space="preserve"> </w:t>
      </w:r>
      <w:r w:rsidRPr="007632C3">
        <w:t xml:space="preserve">(finding the Bureau of Land Management appropriately relied on </w:t>
      </w:r>
      <w:r>
        <w:t xml:space="preserve">the </w:t>
      </w:r>
      <w:r w:rsidRPr="007632C3">
        <w:t>NAAQS in its cumulative effects analysis for oil and gas drilling permit applications);</w:t>
      </w:r>
      <w:r w:rsidRPr="007632C3">
        <w:rPr>
          <w:i/>
          <w:iCs/>
        </w:rPr>
        <w:t xml:space="preserve"> Lowman</w:t>
      </w:r>
      <w:r w:rsidRPr="007632C3">
        <w:t xml:space="preserve">, 83 F.4th </w:t>
      </w:r>
      <w:r w:rsidR="00E93D95">
        <w:t xml:space="preserve">                           </w:t>
      </w:r>
      <w:r w:rsidR="00E70AD8">
        <w:t>at</w:t>
      </w:r>
      <w:r w:rsidRPr="007632C3">
        <w:t xml:space="preserve"> 1364–66 (upholding the Federal Aviation Administration’s reliance on its regulations defining a significance threshold for air quality as one where the “action would cause pollutant concentrations to exceed one or more of the NAAQS”).</w:t>
      </w:r>
    </w:p>
  </w:footnote>
  <w:footnote w:id="289">
    <w:p w14:paraId="0E3D747F" w14:textId="77777777" w:rsidR="00912159" w:rsidRPr="00C55BE2" w:rsidRDefault="00912159" w:rsidP="00912159">
      <w:pPr>
        <w:pStyle w:val="FootnoteText"/>
      </w:pPr>
      <w:r>
        <w:rPr>
          <w:rStyle w:val="FootnoteReference"/>
        </w:rPr>
        <w:footnoteRef/>
      </w:r>
      <w:r>
        <w:t xml:space="preserve"> </w:t>
      </w:r>
      <w:r w:rsidRPr="00947BAB">
        <w:rPr>
          <w:i/>
        </w:rPr>
        <w:t>Sabal Trail</w:t>
      </w:r>
      <w:r w:rsidRPr="000C6B73">
        <w:t>, 867 F.3d at 1370, n.7</w:t>
      </w:r>
      <w:r>
        <w:t>.</w:t>
      </w:r>
    </w:p>
  </w:footnote>
  <w:footnote w:id="290">
    <w:p w14:paraId="66AAD844" w14:textId="77777777" w:rsidR="00AC2C56" w:rsidRPr="00AC2C56" w:rsidRDefault="00AC2C56" w:rsidP="00585ED5">
      <w:pPr>
        <w:pStyle w:val="FootnoteText"/>
      </w:pPr>
      <w:r>
        <w:rPr>
          <w:rStyle w:val="FootnoteReference"/>
        </w:rPr>
        <w:footnoteRef/>
      </w:r>
      <w:r w:rsidR="00030D6E">
        <w:rPr>
          <w:i/>
          <w:iCs/>
        </w:rPr>
        <w:t xml:space="preserve"> </w:t>
      </w:r>
      <w:r w:rsidR="00F00A46">
        <w:rPr>
          <w:i/>
          <w:iCs/>
        </w:rPr>
        <w:t xml:space="preserve">See </w:t>
      </w:r>
      <w:r w:rsidR="00F00A46" w:rsidRPr="00F00A46">
        <w:rPr>
          <w:i/>
          <w:iCs/>
        </w:rPr>
        <w:t>supra</w:t>
      </w:r>
      <w:r w:rsidR="00F00A46">
        <w:t xml:space="preserve"> </w:t>
      </w:r>
      <w:r w:rsidR="009F11CA" w:rsidRPr="00106318">
        <w:t xml:space="preserve">P 43 &amp; </w:t>
      </w:r>
      <w:r w:rsidR="001559E5">
        <w:t xml:space="preserve">notes </w:t>
      </w:r>
      <w:r w:rsidR="00C335EF">
        <w:t>164</w:t>
      </w:r>
      <w:r w:rsidR="009F11CA" w:rsidRPr="00106318">
        <w:t>-</w:t>
      </w:r>
      <w:r w:rsidR="00C335EF">
        <w:t>165</w:t>
      </w:r>
      <w:r w:rsidR="009F11CA" w:rsidRPr="00106318">
        <w:t xml:space="preserve">, </w:t>
      </w:r>
      <w:r w:rsidR="001973D2">
        <w:t>183</w:t>
      </w:r>
      <w:r w:rsidR="009F11CA">
        <w:t>.</w:t>
      </w:r>
      <w:r>
        <w:t xml:space="preserve"> </w:t>
      </w:r>
      <w:r w:rsidR="008B3970">
        <w:t xml:space="preserve">  </w:t>
      </w:r>
    </w:p>
  </w:footnote>
  <w:footnote w:id="291">
    <w:p w14:paraId="4337A862" w14:textId="77777777" w:rsidR="00E76EA5" w:rsidRDefault="00E76EA5" w:rsidP="00E76EA5">
      <w:pPr>
        <w:pStyle w:val="FootnoteText"/>
      </w:pPr>
      <w:r>
        <w:rPr>
          <w:rStyle w:val="FootnoteReference"/>
        </w:rPr>
        <w:footnoteRef/>
      </w:r>
      <w:r>
        <w:t xml:space="preserve"> Final EIS at 4-327. </w:t>
      </w:r>
    </w:p>
  </w:footnote>
  <w:footnote w:id="292">
    <w:p w14:paraId="49437EDC" w14:textId="77777777" w:rsidR="00E76EA5" w:rsidRDefault="00E76EA5" w:rsidP="00E76EA5">
      <w:pPr>
        <w:pStyle w:val="FootnoteText"/>
      </w:pPr>
      <w:r>
        <w:rPr>
          <w:rStyle w:val="FootnoteReference"/>
        </w:rPr>
        <w:footnoteRef/>
      </w:r>
      <w:r>
        <w:t xml:space="preserve"> </w:t>
      </w:r>
      <w:r>
        <w:rPr>
          <w:i/>
          <w:iCs/>
        </w:rPr>
        <w:t>Id.</w:t>
      </w:r>
      <w:r>
        <w:t xml:space="preserve"> </w:t>
      </w:r>
    </w:p>
  </w:footnote>
  <w:footnote w:id="293">
    <w:p w14:paraId="3D668DCC" w14:textId="77777777" w:rsidR="001276F4" w:rsidRDefault="001276F4" w:rsidP="001276F4">
      <w:pPr>
        <w:pStyle w:val="FootnoteText"/>
        <w:widowControl/>
      </w:pPr>
      <w:r>
        <w:rPr>
          <w:rStyle w:val="FootnoteReference"/>
        </w:rPr>
        <w:footnoteRef/>
      </w:r>
      <w:r>
        <w:t xml:space="preserve"> </w:t>
      </w:r>
      <w:r w:rsidRPr="00D91908">
        <w:t xml:space="preserve">EPA, </w:t>
      </w:r>
      <w:r w:rsidRPr="00D91908">
        <w:rPr>
          <w:i/>
          <w:iCs/>
        </w:rPr>
        <w:t>Human Health Risk Assessment Protocol for Hazardous Waste Combustion Facilities</w:t>
      </w:r>
      <w:r>
        <w:t>, EPA530-D-05-006 (2005)</w:t>
      </w:r>
      <w:r w:rsidR="002D7277">
        <w:t xml:space="preserve"> (Health Risk Assessment Protocol)</w:t>
      </w:r>
      <w:r>
        <w:t>.  The Human Health Risk Assessment Protocol incorporates risk assessment guidance and methods from the EPA, as well as the experience EPA has gained through conducting and reviewing combustion risk assessments, to provide a comprehensive method of assessing human health risk from combustion emissions.  It provides a standardized methodology for conducting combustion risk assessments and, therefore, was chosen as the most appropriate guidance to follow.</w:t>
      </w:r>
    </w:p>
  </w:footnote>
  <w:footnote w:id="294">
    <w:p w14:paraId="225A96B7" w14:textId="77777777" w:rsidR="001276F4" w:rsidRDefault="001276F4" w:rsidP="001276F4">
      <w:pPr>
        <w:pStyle w:val="FootnoteText"/>
      </w:pPr>
      <w:r>
        <w:rPr>
          <w:rStyle w:val="FootnoteReference"/>
        </w:rPr>
        <w:footnoteRef/>
      </w:r>
      <w:r>
        <w:t xml:space="preserve"> Lucy Fraiser Toxicology Consulting LLC, </w:t>
      </w:r>
      <w:r w:rsidRPr="007360BC">
        <w:rPr>
          <w:i/>
          <w:iCs/>
        </w:rPr>
        <w:t xml:space="preserve">CP2 LNG Terminal </w:t>
      </w:r>
      <w:r w:rsidR="00AB07C1">
        <w:rPr>
          <w:i/>
          <w:iCs/>
        </w:rPr>
        <w:t>&amp;</w:t>
      </w:r>
      <w:r w:rsidRPr="007360BC">
        <w:rPr>
          <w:i/>
          <w:iCs/>
        </w:rPr>
        <w:t xml:space="preserve"> Mobile Sources Human Health Risk Assessment</w:t>
      </w:r>
      <w:r>
        <w:t>, June 30, 2023</w:t>
      </w:r>
      <w:r w:rsidR="002D7277">
        <w:t xml:space="preserve"> (</w:t>
      </w:r>
      <w:r w:rsidR="002D7277" w:rsidRPr="002D7277">
        <w:t>Health Risk Assessment</w:t>
      </w:r>
      <w:r w:rsidR="002D7277">
        <w:t>)</w:t>
      </w:r>
      <w:r>
        <w:t xml:space="preserve">.  </w:t>
      </w:r>
      <w:r w:rsidRPr="008D1524">
        <w:rPr>
          <w:i/>
        </w:rPr>
        <w:t>See</w:t>
      </w:r>
      <w:r>
        <w:t xml:space="preserve"> </w:t>
      </w:r>
      <w:r w:rsidR="00FC2F8D">
        <w:t>f</w:t>
      </w:r>
      <w:r>
        <w:t>inal EIS</w:t>
      </w:r>
      <w:r w:rsidR="00FC2F8D">
        <w:t>, app. O</w:t>
      </w:r>
      <w:r>
        <w:t>.</w:t>
      </w:r>
    </w:p>
  </w:footnote>
  <w:footnote w:id="295">
    <w:p w14:paraId="0854A886" w14:textId="77777777" w:rsidR="001276F4" w:rsidRDefault="001276F4" w:rsidP="001276F4">
      <w:pPr>
        <w:pStyle w:val="FootnoteText"/>
      </w:pPr>
      <w:r>
        <w:rPr>
          <w:rStyle w:val="FootnoteReference"/>
        </w:rPr>
        <w:footnoteRef/>
      </w:r>
      <w:r>
        <w:t xml:space="preserve"> Final EIS at 5-21.</w:t>
      </w:r>
    </w:p>
  </w:footnote>
  <w:footnote w:id="296">
    <w:p w14:paraId="32D1DF71" w14:textId="77777777" w:rsidR="001276F4" w:rsidRDefault="001276F4" w:rsidP="001276F4">
      <w:pPr>
        <w:pStyle w:val="FootnoteText"/>
      </w:pPr>
      <w:r w:rsidRPr="009F0177">
        <w:rPr>
          <w:rStyle w:val="FootnoteReference"/>
        </w:rPr>
        <w:footnoteRef/>
      </w:r>
      <w:r>
        <w:t xml:space="preserve"> </w:t>
      </w:r>
      <w:r>
        <w:rPr>
          <w:i/>
          <w:iCs/>
        </w:rPr>
        <w:t>Id.</w:t>
      </w:r>
      <w:r w:rsidR="00AE1550">
        <w:t xml:space="preserve">; </w:t>
      </w:r>
      <w:r w:rsidR="00FA1633">
        <w:rPr>
          <w:i/>
          <w:iCs/>
        </w:rPr>
        <w:t xml:space="preserve">see </w:t>
      </w:r>
      <w:r w:rsidR="00FA1633">
        <w:t>Authorization Order, 187 FERC ¶ 61,199 at P</w:t>
      </w:r>
      <w:r w:rsidR="00B967F6">
        <w:t>P 140-</w:t>
      </w:r>
      <w:r w:rsidR="00FA1633">
        <w:t>142 (explaining</w:t>
      </w:r>
      <w:r w:rsidR="00AE1550">
        <w:t xml:space="preserve"> </w:t>
      </w:r>
      <w:r w:rsidR="00755B55">
        <w:t>EPA’s risk management objectives</w:t>
      </w:r>
      <w:r w:rsidR="00B967F6">
        <w:t>);</w:t>
      </w:r>
      <w:r w:rsidR="00FA1633">
        <w:rPr>
          <w:i/>
          <w:iCs/>
        </w:rPr>
        <w:t xml:space="preserve"> </w:t>
      </w:r>
      <w:r w:rsidR="00AE1550">
        <w:rPr>
          <w:i/>
          <w:iCs/>
        </w:rPr>
        <w:t xml:space="preserve">see also </w:t>
      </w:r>
      <w:r w:rsidR="00AE1550" w:rsidRPr="00AE1550">
        <w:t>EPA</w:t>
      </w:r>
      <w:r w:rsidR="00DB2331">
        <w:t>,</w:t>
      </w:r>
      <w:r w:rsidR="00087EB9">
        <w:t xml:space="preserve"> </w:t>
      </w:r>
      <w:r w:rsidR="00087EB9" w:rsidRPr="00AE1550">
        <w:t>Office of Emergency and Remedial Response</w:t>
      </w:r>
      <w:r w:rsidR="00AE1550" w:rsidRPr="00AE1550">
        <w:t>, Risk Assessment Guidance for Superfund</w:t>
      </w:r>
      <w:r w:rsidR="00AE1550">
        <w:t xml:space="preserve"> </w:t>
      </w:r>
      <w:r w:rsidR="00AE1550" w:rsidRPr="00AE1550">
        <w:t>Volume I: Human Health Evaluation Manual (Part A) Interim Final</w:t>
      </w:r>
      <w:r w:rsidR="00AC6186">
        <w:t xml:space="preserve"> (</w:t>
      </w:r>
      <w:r w:rsidR="00AE1550" w:rsidRPr="00AE1550">
        <w:t>December</w:t>
      </w:r>
      <w:r w:rsidR="00AC6186">
        <w:t xml:space="preserve"> 1989)</w:t>
      </w:r>
      <w:r w:rsidR="00973544">
        <w:t xml:space="preserve"> at 8-1 to </w:t>
      </w:r>
      <w:r w:rsidR="00037717">
        <w:t>8-28</w:t>
      </w:r>
      <w:r w:rsidR="00AC6186">
        <w:t xml:space="preserve">, </w:t>
      </w:r>
      <w:r w:rsidR="005B5AF4" w:rsidRPr="00781601">
        <w:t>https://www.epa.gov/system/files/documents/2024-10/rags_a_508.pdf</w:t>
      </w:r>
      <w:r w:rsidR="00060FB2">
        <w:t xml:space="preserve"> (outlining risk characterization and hazard quotients)</w:t>
      </w:r>
      <w:r w:rsidR="005B5AF4">
        <w:t xml:space="preserve">. </w:t>
      </w:r>
    </w:p>
  </w:footnote>
  <w:footnote w:id="297">
    <w:p w14:paraId="3875C5D2" w14:textId="77777777" w:rsidR="001276F4" w:rsidRDefault="001276F4" w:rsidP="001276F4">
      <w:pPr>
        <w:pStyle w:val="FootnoteText"/>
      </w:pPr>
      <w:r>
        <w:rPr>
          <w:rStyle w:val="FootnoteReference"/>
        </w:rPr>
        <w:footnoteRef/>
      </w:r>
      <w:r>
        <w:t xml:space="preserve"> </w:t>
      </w:r>
      <w:r w:rsidR="0021156E" w:rsidRPr="0021156E">
        <w:rPr>
          <w:i/>
          <w:iCs/>
        </w:rPr>
        <w:t>See supra</w:t>
      </w:r>
      <w:r w:rsidR="0021156E">
        <w:t xml:space="preserve"> </w:t>
      </w:r>
      <w:r w:rsidR="009F11CA" w:rsidRPr="00106318">
        <w:t xml:space="preserve">P 43 &amp; </w:t>
      </w:r>
      <w:r w:rsidR="001559E5">
        <w:t>notes</w:t>
      </w:r>
      <w:r w:rsidR="009F11CA" w:rsidRPr="00106318">
        <w:t xml:space="preserve"> </w:t>
      </w:r>
      <w:r w:rsidR="001973D2">
        <w:t>164</w:t>
      </w:r>
      <w:r w:rsidR="009F11CA" w:rsidRPr="00106318">
        <w:t>-</w:t>
      </w:r>
      <w:r w:rsidR="001973D2">
        <w:t>165</w:t>
      </w:r>
      <w:r w:rsidR="0021156E">
        <w:t>;</w:t>
      </w:r>
      <w:r>
        <w:t xml:space="preserve"> </w:t>
      </w:r>
      <w:r w:rsidRPr="00720C5D">
        <w:rPr>
          <w:i/>
          <w:iCs/>
        </w:rPr>
        <w:t>EMR Network</w:t>
      </w:r>
      <w:r w:rsidRPr="00720C5D">
        <w:t xml:space="preserve">, 391 F.3d </w:t>
      </w:r>
      <w:r w:rsidR="00E03B6C">
        <w:t>at 273</w:t>
      </w:r>
      <w:r w:rsidRPr="00720C5D">
        <w:t xml:space="preserve"> (finding agency properly relied outside agency expertise); </w:t>
      </w:r>
      <w:r w:rsidRPr="00720C5D">
        <w:rPr>
          <w:i/>
          <w:iCs/>
        </w:rPr>
        <w:t>Saguaro Connector Pipeline, LLC</w:t>
      </w:r>
      <w:r w:rsidRPr="00720C5D">
        <w:t xml:space="preserve">, </w:t>
      </w:r>
      <w:r w:rsidR="00781601">
        <w:t xml:space="preserve">    </w:t>
      </w:r>
      <w:r w:rsidRPr="00720C5D">
        <w:t>188 FERC ¶ 61,029 at P 114</w:t>
      </w:r>
      <w:r>
        <w:t>.</w:t>
      </w:r>
    </w:p>
  </w:footnote>
  <w:footnote w:id="298">
    <w:p w14:paraId="1932E5FA" w14:textId="77777777" w:rsidR="00875919" w:rsidRDefault="00875919" w:rsidP="00875919">
      <w:pPr>
        <w:pStyle w:val="FootnoteText"/>
      </w:pPr>
      <w:r>
        <w:rPr>
          <w:rStyle w:val="FootnoteReference"/>
        </w:rPr>
        <w:footnoteRef/>
      </w:r>
      <w:r>
        <w:t xml:space="preserve"> </w:t>
      </w:r>
      <w:r w:rsidRPr="00875919">
        <w:rPr>
          <w:i/>
          <w:iCs/>
        </w:rPr>
        <w:t>Nat. Res. Def. Council v. U.S. Nuclear Regul. Comm</w:t>
      </w:r>
      <w:r w:rsidR="008A458A">
        <w:rPr>
          <w:i/>
          <w:iCs/>
        </w:rPr>
        <w:t>’</w:t>
      </w:r>
      <w:r w:rsidRPr="00875919">
        <w:rPr>
          <w:i/>
          <w:iCs/>
        </w:rPr>
        <w:t>n</w:t>
      </w:r>
      <w:r w:rsidRPr="00875919">
        <w:t>, 879 F.3d 1202, 1214 (D.C. Cir. 2018)</w:t>
      </w:r>
      <w:r>
        <w:t xml:space="preserve"> (citing </w:t>
      </w:r>
      <w:r w:rsidR="008A458A" w:rsidRPr="008A458A">
        <w:rPr>
          <w:i/>
          <w:iCs/>
        </w:rPr>
        <w:t>Theodore Roosevelt Conservation P’ship v. Salazar</w:t>
      </w:r>
      <w:r w:rsidR="008A458A" w:rsidRPr="008A458A">
        <w:t>, 616 F.3d 497, 515–17 (D.C. Cir. 2010)</w:t>
      </w:r>
      <w:r w:rsidR="008A458A">
        <w:t xml:space="preserve">).  </w:t>
      </w:r>
    </w:p>
  </w:footnote>
  <w:footnote w:id="299">
    <w:p w14:paraId="50AD75BF" w14:textId="77777777" w:rsidR="002804D5" w:rsidRDefault="002804D5" w:rsidP="002804D5">
      <w:pPr>
        <w:pStyle w:val="FootnoteText"/>
      </w:pPr>
      <w:r>
        <w:rPr>
          <w:rStyle w:val="FootnoteReference"/>
        </w:rPr>
        <w:footnoteRef/>
      </w:r>
      <w:r>
        <w:t xml:space="preserve"> </w:t>
      </w:r>
      <w:r>
        <w:rPr>
          <w:i/>
          <w:iCs/>
        </w:rPr>
        <w:t>Id.</w:t>
      </w:r>
      <w:r>
        <w:t xml:space="preserve"> at 4-327 </w:t>
      </w:r>
      <w:r w:rsidR="006010A5">
        <w:t>to</w:t>
      </w:r>
      <w:r>
        <w:t xml:space="preserve"> 4-328</w:t>
      </w:r>
      <w:r w:rsidR="001F50A7">
        <w:t>; final supplemental EIS</w:t>
      </w:r>
      <w:r w:rsidR="006D4E8E">
        <w:t xml:space="preserve"> at </w:t>
      </w:r>
      <w:r w:rsidR="00535561">
        <w:t>15-20</w:t>
      </w:r>
      <w:r w:rsidR="003353F4">
        <w:t>.</w:t>
      </w:r>
    </w:p>
  </w:footnote>
  <w:footnote w:id="300">
    <w:p w14:paraId="298AF6A2" w14:textId="77777777" w:rsidR="00803361" w:rsidRDefault="00803361" w:rsidP="00803361">
      <w:pPr>
        <w:pStyle w:val="FootnoteText"/>
      </w:pPr>
      <w:r>
        <w:rPr>
          <w:rStyle w:val="FootnoteReference"/>
        </w:rPr>
        <w:footnoteRef/>
      </w:r>
      <w:r>
        <w:t xml:space="preserve"> </w:t>
      </w:r>
      <w:r w:rsidR="006010A5">
        <w:t>Petitioners</w:t>
      </w:r>
      <w:r>
        <w:t xml:space="preserve"> Rehearing Request at 159. </w:t>
      </w:r>
    </w:p>
  </w:footnote>
  <w:footnote w:id="301">
    <w:p w14:paraId="53245AF3" w14:textId="77777777" w:rsidR="00803361" w:rsidRDefault="00803361" w:rsidP="00803361">
      <w:pPr>
        <w:pStyle w:val="FootnoteText"/>
      </w:pPr>
      <w:r>
        <w:rPr>
          <w:rStyle w:val="FootnoteReference"/>
        </w:rPr>
        <w:footnoteRef/>
      </w:r>
      <w:r>
        <w:t xml:space="preserve"> </w:t>
      </w:r>
      <w:r>
        <w:rPr>
          <w:i/>
          <w:iCs/>
        </w:rPr>
        <w:t>Id.</w:t>
      </w:r>
      <w:r>
        <w:t xml:space="preserve"> at 159-60.  </w:t>
      </w:r>
    </w:p>
  </w:footnote>
  <w:footnote w:id="302">
    <w:p w14:paraId="34C1FBA9" w14:textId="77777777" w:rsidR="00803361" w:rsidRDefault="00803361" w:rsidP="00803361">
      <w:pPr>
        <w:pStyle w:val="FootnoteText"/>
      </w:pPr>
      <w:r>
        <w:rPr>
          <w:rStyle w:val="FootnoteReference"/>
        </w:rPr>
        <w:footnoteRef/>
      </w:r>
      <w:r>
        <w:t xml:space="preserve"> </w:t>
      </w:r>
      <w:r w:rsidRPr="00A31E78">
        <w:rPr>
          <w:i/>
          <w:iCs/>
        </w:rPr>
        <w:t>Transcon. Gas Pipe Line Co.</w:t>
      </w:r>
      <w:r w:rsidRPr="00355269">
        <w:t>, 185 FERC ¶ 61,133</w:t>
      </w:r>
      <w:r w:rsidR="00D35E11">
        <w:t>,</w:t>
      </w:r>
      <w:r>
        <w:t xml:space="preserve"> at P 69</w:t>
      </w:r>
      <w:r w:rsidR="00D35E11">
        <w:t xml:space="preserve"> (2023)</w:t>
      </w:r>
      <w:r>
        <w:t>.</w:t>
      </w:r>
    </w:p>
  </w:footnote>
  <w:footnote w:id="303">
    <w:p w14:paraId="10E06501" w14:textId="77777777" w:rsidR="00803361" w:rsidRDefault="00803361" w:rsidP="00803361">
      <w:pPr>
        <w:pStyle w:val="FootnoteText"/>
      </w:pPr>
      <w:r>
        <w:rPr>
          <w:rStyle w:val="FootnoteReference"/>
        </w:rPr>
        <w:footnoteRef/>
      </w:r>
      <w:r>
        <w:t xml:space="preserve"> Final EIS at 4-337 </w:t>
      </w:r>
      <w:r w:rsidR="00057858">
        <w:t>to</w:t>
      </w:r>
      <w:r>
        <w:t xml:space="preserve"> 4-338, Table 4.12.1-2; Authorization Order, 187 FERC </w:t>
      </w:r>
      <w:r w:rsidR="00781601">
        <w:t xml:space="preserve">    </w:t>
      </w:r>
      <w:r>
        <w:t xml:space="preserve">¶ 61,199 at P 140.  </w:t>
      </w:r>
    </w:p>
  </w:footnote>
  <w:footnote w:id="304">
    <w:p w14:paraId="0B8F8C57" w14:textId="77777777" w:rsidR="00803361" w:rsidRDefault="00803361" w:rsidP="00803361">
      <w:pPr>
        <w:pStyle w:val="FootnoteText"/>
      </w:pPr>
      <w:r>
        <w:rPr>
          <w:rStyle w:val="FootnoteReference"/>
        </w:rPr>
        <w:footnoteRef/>
      </w:r>
      <w:r>
        <w:t xml:space="preserve"> </w:t>
      </w:r>
      <w:r w:rsidR="00DC65AA">
        <w:t xml:space="preserve">Final supplemental EIS at </w:t>
      </w:r>
      <w:r w:rsidR="00535561">
        <w:t>15-20</w:t>
      </w:r>
      <w:r w:rsidR="0080710B">
        <w:t xml:space="preserve">.  </w:t>
      </w:r>
    </w:p>
  </w:footnote>
  <w:footnote w:id="305">
    <w:p w14:paraId="1D07A931" w14:textId="77777777" w:rsidR="00803361" w:rsidRDefault="00803361" w:rsidP="00781601">
      <w:pPr>
        <w:pStyle w:val="FootnoteText"/>
        <w:widowControl/>
      </w:pPr>
      <w:r>
        <w:rPr>
          <w:rStyle w:val="FootnoteReference"/>
        </w:rPr>
        <w:footnoteRef/>
      </w:r>
      <w:r w:rsidR="00057858">
        <w:t xml:space="preserve"> </w:t>
      </w:r>
      <w:r w:rsidR="00B6023B">
        <w:t xml:space="preserve">Authorization Order, 187 FERC ¶ 61,199 at P </w:t>
      </w:r>
      <w:r w:rsidR="002679C9">
        <w:t>140 (citing f</w:t>
      </w:r>
      <w:r w:rsidR="00057858">
        <w:t>inal EIS</w:t>
      </w:r>
      <w:r>
        <w:t xml:space="preserve"> at 4-324</w:t>
      </w:r>
      <w:r w:rsidR="002679C9">
        <w:t>)</w:t>
      </w:r>
      <w:r w:rsidR="00C532F9">
        <w:t>.</w:t>
      </w:r>
    </w:p>
  </w:footnote>
  <w:footnote w:id="306">
    <w:p w14:paraId="49F2907F" w14:textId="77777777" w:rsidR="00803361" w:rsidRDefault="00803361" w:rsidP="00803361">
      <w:pPr>
        <w:pStyle w:val="FootnoteText"/>
      </w:pPr>
      <w:r>
        <w:rPr>
          <w:rStyle w:val="FootnoteReference"/>
        </w:rPr>
        <w:footnoteRef/>
      </w:r>
      <w:r>
        <w:t xml:space="preserve"> </w:t>
      </w:r>
      <w:r w:rsidR="008F17FF">
        <w:t>Petitioners</w:t>
      </w:r>
      <w:r>
        <w:t xml:space="preserve"> Rehearing Request at 160 (citing final EIS at 4-324)</w:t>
      </w:r>
      <w:r w:rsidR="0032571C">
        <w:t>.</w:t>
      </w:r>
      <w:r>
        <w:t xml:space="preserve"> </w:t>
      </w:r>
    </w:p>
  </w:footnote>
  <w:footnote w:id="307">
    <w:p w14:paraId="799E2DDA" w14:textId="77777777" w:rsidR="00803361" w:rsidRDefault="00803361" w:rsidP="00803361">
      <w:pPr>
        <w:pStyle w:val="FootnoteText"/>
      </w:pPr>
      <w:r>
        <w:rPr>
          <w:rStyle w:val="FootnoteReference"/>
        </w:rPr>
        <w:footnoteRef/>
      </w:r>
      <w:r>
        <w:t xml:space="preserve"> </w:t>
      </w:r>
      <w:r>
        <w:rPr>
          <w:i/>
          <w:iCs/>
        </w:rPr>
        <w:t>Id.</w:t>
      </w:r>
      <w:r>
        <w:t xml:space="preserve">   </w:t>
      </w:r>
    </w:p>
  </w:footnote>
  <w:footnote w:id="308">
    <w:p w14:paraId="4451FC9B" w14:textId="77777777" w:rsidR="00803361" w:rsidRDefault="00803361" w:rsidP="00803361">
      <w:pPr>
        <w:pStyle w:val="FootnoteText"/>
      </w:pPr>
      <w:r>
        <w:rPr>
          <w:rStyle w:val="FootnoteReference"/>
        </w:rPr>
        <w:footnoteRef/>
      </w:r>
      <w:r>
        <w:t xml:space="preserve"> </w:t>
      </w:r>
      <w:r>
        <w:rPr>
          <w:i/>
          <w:iCs/>
        </w:rPr>
        <w:t>Id.</w:t>
      </w:r>
      <w:r>
        <w:t xml:space="preserve"> at 160-61 (citing final EIS at 4-324 </w:t>
      </w:r>
      <w:r w:rsidR="00CA041C">
        <w:t>to</w:t>
      </w:r>
      <w:r>
        <w:t xml:space="preserve"> 4-325)</w:t>
      </w:r>
      <w:r w:rsidR="00DA5744">
        <w:t xml:space="preserve">; </w:t>
      </w:r>
      <w:r w:rsidR="00DA5744">
        <w:rPr>
          <w:i/>
          <w:iCs/>
        </w:rPr>
        <w:t>but see supra</w:t>
      </w:r>
      <w:r w:rsidR="00DA5744">
        <w:t xml:space="preserve"> </w:t>
      </w:r>
      <w:r w:rsidR="00DA5744" w:rsidRPr="00106318">
        <w:t xml:space="preserve">note </w:t>
      </w:r>
      <w:r w:rsidR="00274915">
        <w:t xml:space="preserve">76 </w:t>
      </w:r>
      <w:r w:rsidR="00DA5744">
        <w:t xml:space="preserve">(explaining that Executive Orders 12898, 13985, and 14096 have been revoked).  </w:t>
      </w:r>
    </w:p>
  </w:footnote>
  <w:footnote w:id="309">
    <w:p w14:paraId="18549C41" w14:textId="77777777" w:rsidR="0011127B" w:rsidRPr="0011127B" w:rsidRDefault="0011127B">
      <w:pPr>
        <w:pStyle w:val="FootnoteText"/>
      </w:pPr>
      <w:r>
        <w:rPr>
          <w:rStyle w:val="FootnoteReference"/>
        </w:rPr>
        <w:footnoteRef/>
      </w:r>
      <w:r>
        <w:t xml:space="preserve"> </w:t>
      </w:r>
      <w:r>
        <w:rPr>
          <w:i/>
          <w:iCs/>
        </w:rPr>
        <w:t>See supra</w:t>
      </w:r>
      <w:r>
        <w:t xml:space="preserve"> </w:t>
      </w:r>
      <w:r w:rsidRPr="00106318">
        <w:t xml:space="preserve">note </w:t>
      </w:r>
      <w:r w:rsidR="00274915">
        <w:t>76</w:t>
      </w:r>
      <w:r>
        <w:t>.</w:t>
      </w:r>
    </w:p>
  </w:footnote>
  <w:footnote w:id="310">
    <w:p w14:paraId="00FB2A35" w14:textId="77777777" w:rsidR="00803361" w:rsidRDefault="00803361" w:rsidP="00803361">
      <w:pPr>
        <w:pStyle w:val="FootnoteText"/>
      </w:pPr>
      <w:r>
        <w:rPr>
          <w:rStyle w:val="FootnoteReference"/>
        </w:rPr>
        <w:footnoteRef/>
      </w:r>
      <w:r>
        <w:t xml:space="preserve"> Final EIS at 4-333 </w:t>
      </w:r>
      <w:r w:rsidR="002E03A8">
        <w:t>to</w:t>
      </w:r>
      <w:r>
        <w:t xml:space="preserve"> 4-346.</w:t>
      </w:r>
    </w:p>
  </w:footnote>
  <w:footnote w:id="311">
    <w:p w14:paraId="3E8ED665" w14:textId="77777777" w:rsidR="00803361" w:rsidRDefault="00803361" w:rsidP="00803361">
      <w:pPr>
        <w:pStyle w:val="FootnoteText"/>
      </w:pPr>
      <w:r>
        <w:rPr>
          <w:rStyle w:val="FootnoteReference"/>
        </w:rPr>
        <w:footnoteRef/>
      </w:r>
      <w:r>
        <w:t xml:space="preserve"> </w:t>
      </w:r>
      <w:r w:rsidRPr="00724A66">
        <w:rPr>
          <w:i/>
          <w:iCs/>
        </w:rPr>
        <w:t>Transcon. Gas Pipe Line Co.</w:t>
      </w:r>
      <w:r w:rsidRPr="00724A66">
        <w:t>, 187 FERC ¶ 61,024</w:t>
      </w:r>
      <w:r>
        <w:t xml:space="preserve"> at n.236;</w:t>
      </w:r>
      <w:r w:rsidRPr="000966D9">
        <w:rPr>
          <w:rFonts w:eastAsia="Times New Roman"/>
          <w:color w:val="000000"/>
          <w:sz w:val="24"/>
          <w:szCs w:val="24"/>
        </w:rPr>
        <w:t xml:space="preserve"> </w:t>
      </w:r>
      <w:r w:rsidRPr="007C2B43">
        <w:rPr>
          <w:i/>
          <w:iCs/>
        </w:rPr>
        <w:t>Algonquin Gas Transmission, LLC</w:t>
      </w:r>
      <w:r w:rsidRPr="007C2B43">
        <w:t>, 154 FERC ¶ 61,048</w:t>
      </w:r>
      <w:r>
        <w:t xml:space="preserve"> at P 182 (stating that a health impact assessment would be redundant).  We further note that a health impact assessment is not required by NEPA.  </w:t>
      </w:r>
      <w:r w:rsidRPr="00A849CE">
        <w:rPr>
          <w:i/>
          <w:iCs/>
        </w:rPr>
        <w:t>Alaska Gasline Dev. Corp.</w:t>
      </w:r>
      <w:r w:rsidRPr="00A849CE">
        <w:t>, 172 FERC ¶ 61,214</w:t>
      </w:r>
      <w:r w:rsidR="00B928E6">
        <w:t>,</w:t>
      </w:r>
      <w:r w:rsidRPr="00A849CE">
        <w:t xml:space="preserve"> </w:t>
      </w:r>
      <w:r>
        <w:t>at P 116</w:t>
      </w:r>
      <w:r w:rsidR="00B928E6">
        <w:t xml:space="preserve"> (2020)</w:t>
      </w:r>
      <w:r>
        <w:t>.</w:t>
      </w:r>
    </w:p>
  </w:footnote>
  <w:footnote w:id="312">
    <w:p w14:paraId="08C3C1CE" w14:textId="77777777" w:rsidR="00803361" w:rsidRDefault="00803361" w:rsidP="00803361">
      <w:pPr>
        <w:pStyle w:val="FootnoteText"/>
      </w:pPr>
      <w:r>
        <w:rPr>
          <w:rStyle w:val="FootnoteReference"/>
        </w:rPr>
        <w:footnoteRef/>
      </w:r>
      <w:r>
        <w:t xml:space="preserve"> </w:t>
      </w:r>
      <w:r w:rsidRPr="007C2B43">
        <w:rPr>
          <w:i/>
          <w:iCs/>
        </w:rPr>
        <w:t>Algonquin Gas Transmission, LLC</w:t>
      </w:r>
      <w:r w:rsidRPr="007C2B43">
        <w:t>, 154 FERC ¶ 61,048</w:t>
      </w:r>
      <w:r>
        <w:t xml:space="preserve"> at P 182.</w:t>
      </w:r>
    </w:p>
  </w:footnote>
  <w:footnote w:id="313">
    <w:p w14:paraId="58EEA3FF" w14:textId="77777777" w:rsidR="00803361" w:rsidRDefault="00803361" w:rsidP="00803361">
      <w:pPr>
        <w:pStyle w:val="FootnoteText"/>
      </w:pPr>
      <w:r>
        <w:rPr>
          <w:rStyle w:val="FootnoteReference"/>
        </w:rPr>
        <w:footnoteRef/>
      </w:r>
      <w:r>
        <w:t xml:space="preserve"> </w:t>
      </w:r>
      <w:r>
        <w:rPr>
          <w:i/>
          <w:iCs/>
        </w:rPr>
        <w:t>Id.</w:t>
      </w:r>
      <w:r>
        <w:t xml:space="preserve"> </w:t>
      </w:r>
    </w:p>
  </w:footnote>
  <w:footnote w:id="314">
    <w:p w14:paraId="56165543" w14:textId="77777777" w:rsidR="00803361" w:rsidRDefault="00803361" w:rsidP="00803361">
      <w:pPr>
        <w:pStyle w:val="FootnoteText"/>
      </w:pPr>
      <w:r>
        <w:rPr>
          <w:rStyle w:val="FootnoteReference"/>
        </w:rPr>
        <w:footnoteRef/>
      </w:r>
      <w:r>
        <w:t xml:space="preserve"> </w:t>
      </w:r>
      <w:r>
        <w:rPr>
          <w:i/>
          <w:iCs/>
        </w:rPr>
        <w:t>Id.</w:t>
      </w:r>
      <w:r>
        <w:t xml:space="preserve"> (in response to substantially similar arguments, finding </w:t>
      </w:r>
      <w:r w:rsidRPr="009F3986">
        <w:t>“no basis to duplicate work already performed under EPA rulemakings that were subject to public comment”</w:t>
      </w:r>
      <w:r>
        <w:t>).</w:t>
      </w:r>
    </w:p>
  </w:footnote>
  <w:footnote w:id="315">
    <w:p w14:paraId="31D1CD33" w14:textId="77777777" w:rsidR="00803361" w:rsidRDefault="00803361" w:rsidP="00803361">
      <w:pPr>
        <w:pStyle w:val="FootnoteText"/>
        <w:widowControl/>
      </w:pPr>
      <w:r>
        <w:rPr>
          <w:rStyle w:val="FootnoteReference"/>
        </w:rPr>
        <w:footnoteRef/>
      </w:r>
      <w:r w:rsidR="002D7277">
        <w:t xml:space="preserve"> Health Risk Assessment Protocol</w:t>
      </w:r>
      <w:r w:rsidR="00AE6D83">
        <w:t xml:space="preserve">; </w:t>
      </w:r>
      <w:r w:rsidR="00AE6D83">
        <w:rPr>
          <w:i/>
          <w:iCs/>
        </w:rPr>
        <w:t>see supra</w:t>
      </w:r>
      <w:r w:rsidR="00AE6D83">
        <w:t xml:space="preserve"> </w:t>
      </w:r>
      <w:r w:rsidR="0073403B" w:rsidRPr="00106318">
        <w:t>note</w:t>
      </w:r>
      <w:r w:rsidR="00AE6D83" w:rsidRPr="00106318">
        <w:t xml:space="preserve"> </w:t>
      </w:r>
      <w:r w:rsidR="007B6C0A">
        <w:t>292</w:t>
      </w:r>
      <w:r w:rsidR="00AE6D83">
        <w:t xml:space="preserve">. </w:t>
      </w:r>
    </w:p>
  </w:footnote>
  <w:footnote w:id="316">
    <w:p w14:paraId="58B9D98B" w14:textId="77777777" w:rsidR="00803361" w:rsidRDefault="00803361" w:rsidP="00803361">
      <w:pPr>
        <w:pStyle w:val="FootnoteText"/>
      </w:pPr>
      <w:r>
        <w:rPr>
          <w:rStyle w:val="FootnoteReference"/>
        </w:rPr>
        <w:footnoteRef/>
      </w:r>
      <w:r w:rsidR="002D7277">
        <w:t xml:space="preserve"> </w:t>
      </w:r>
      <w:r w:rsidR="002D7277">
        <w:rPr>
          <w:i/>
          <w:iCs/>
        </w:rPr>
        <w:t xml:space="preserve">See </w:t>
      </w:r>
      <w:r w:rsidR="002D7277">
        <w:t>Health Risk Assessment</w:t>
      </w:r>
      <w:r w:rsidR="0073403B">
        <w:t xml:space="preserve">; </w:t>
      </w:r>
      <w:r w:rsidR="0073403B">
        <w:rPr>
          <w:i/>
          <w:iCs/>
        </w:rPr>
        <w:t>see supra</w:t>
      </w:r>
      <w:r w:rsidR="0073403B">
        <w:t xml:space="preserve"> </w:t>
      </w:r>
      <w:r w:rsidR="0073403B" w:rsidRPr="00106318">
        <w:t xml:space="preserve">note </w:t>
      </w:r>
      <w:r w:rsidR="007B6C0A">
        <w:t>293</w:t>
      </w:r>
      <w:r w:rsidR="0073403B">
        <w:t>.</w:t>
      </w:r>
      <w:r>
        <w:t xml:space="preserve"> </w:t>
      </w:r>
      <w:r w:rsidR="0089684B">
        <w:t xml:space="preserve"> </w:t>
      </w:r>
      <w:r w:rsidRPr="00C32C06">
        <w:rPr>
          <w:i/>
        </w:rPr>
        <w:t>See</w:t>
      </w:r>
      <w:r>
        <w:t xml:space="preserve"> </w:t>
      </w:r>
      <w:r w:rsidR="000B760F">
        <w:t>f</w:t>
      </w:r>
      <w:r>
        <w:t>inal EIS</w:t>
      </w:r>
      <w:r w:rsidR="000B760F">
        <w:t>, app. O</w:t>
      </w:r>
      <w:r>
        <w:t>.</w:t>
      </w:r>
    </w:p>
  </w:footnote>
  <w:footnote w:id="317">
    <w:p w14:paraId="6CDB964A" w14:textId="77777777" w:rsidR="00803361" w:rsidRDefault="00803361" w:rsidP="00803361">
      <w:pPr>
        <w:pStyle w:val="FootnoteText"/>
      </w:pPr>
      <w:r>
        <w:rPr>
          <w:rStyle w:val="FootnoteReference"/>
        </w:rPr>
        <w:footnoteRef/>
      </w:r>
      <w:r>
        <w:t xml:space="preserve"> Final EIS at 4-324, 4-374 to 4-376</w:t>
      </w:r>
      <w:r w:rsidR="00B64E94">
        <w:t xml:space="preserve">; </w:t>
      </w:r>
      <w:r w:rsidR="00B64E94">
        <w:rPr>
          <w:i/>
          <w:iCs/>
        </w:rPr>
        <w:t>see</w:t>
      </w:r>
      <w:r>
        <w:rPr>
          <w:i/>
        </w:rPr>
        <w:t xml:space="preserve"> also </w:t>
      </w:r>
      <w:r w:rsidR="00B64E94">
        <w:rPr>
          <w:i/>
          <w:iCs/>
        </w:rPr>
        <w:t>id.</w:t>
      </w:r>
      <w:r w:rsidR="000B760F">
        <w:t xml:space="preserve"> app. O</w:t>
      </w:r>
      <w:r>
        <w:t>.</w:t>
      </w:r>
    </w:p>
  </w:footnote>
  <w:footnote w:id="318">
    <w:p w14:paraId="3F218B32" w14:textId="77777777" w:rsidR="00803361" w:rsidRDefault="00803361" w:rsidP="00803361">
      <w:pPr>
        <w:pStyle w:val="FootnoteText"/>
      </w:pPr>
      <w:r>
        <w:rPr>
          <w:rStyle w:val="FootnoteReference"/>
        </w:rPr>
        <w:footnoteRef/>
      </w:r>
      <w:r>
        <w:t xml:space="preserve"> </w:t>
      </w:r>
      <w:r w:rsidR="00B64E94">
        <w:rPr>
          <w:i/>
          <w:iCs/>
        </w:rPr>
        <w:t xml:space="preserve">Id. </w:t>
      </w:r>
      <w:r w:rsidR="000B760F">
        <w:t>app.</w:t>
      </w:r>
      <w:r>
        <w:t xml:space="preserve"> O at 3-7 </w:t>
      </w:r>
      <w:r w:rsidR="000B760F">
        <w:t>to</w:t>
      </w:r>
      <w:r>
        <w:t xml:space="preserve"> 3-9, 3-18 </w:t>
      </w:r>
      <w:r w:rsidR="000B760F">
        <w:t>to</w:t>
      </w:r>
      <w:r>
        <w:t xml:space="preserve"> 3-22.  </w:t>
      </w:r>
    </w:p>
  </w:footnote>
  <w:footnote w:id="319">
    <w:p w14:paraId="04E5CFD0" w14:textId="77777777" w:rsidR="00803361" w:rsidRDefault="00803361" w:rsidP="00803361">
      <w:pPr>
        <w:pStyle w:val="FootnoteText"/>
      </w:pPr>
      <w:r>
        <w:rPr>
          <w:rStyle w:val="FootnoteReference"/>
        </w:rPr>
        <w:footnoteRef/>
      </w:r>
      <w:r>
        <w:t xml:space="preserve"> </w:t>
      </w:r>
      <w:r>
        <w:rPr>
          <w:i/>
          <w:iCs/>
        </w:rPr>
        <w:t>Id.</w:t>
      </w:r>
      <w:r>
        <w:t xml:space="preserve"> at 4-549.  </w:t>
      </w:r>
    </w:p>
  </w:footnote>
  <w:footnote w:id="320">
    <w:p w14:paraId="7F621F72" w14:textId="77777777" w:rsidR="001276F4" w:rsidRDefault="001276F4" w:rsidP="001276F4">
      <w:pPr>
        <w:pStyle w:val="FootnoteText"/>
      </w:pPr>
      <w:r>
        <w:rPr>
          <w:rStyle w:val="FootnoteReference"/>
        </w:rPr>
        <w:footnoteRef/>
      </w:r>
      <w:r>
        <w:t xml:space="preserve"> </w:t>
      </w:r>
      <w:r w:rsidR="000B760F">
        <w:t>Petitioners</w:t>
      </w:r>
      <w:r>
        <w:t xml:space="preserve"> Rehearing Request at 147 (citing final EIS at </w:t>
      </w:r>
      <w:r w:rsidR="000B760F">
        <w:t>2-8</w:t>
      </w:r>
      <w:r>
        <w:t>, 4-356, 4-35</w:t>
      </w:r>
      <w:r w:rsidR="00C95E6A">
        <w:t>8</w:t>
      </w:r>
      <w:r>
        <w:t xml:space="preserve">).  </w:t>
      </w:r>
    </w:p>
  </w:footnote>
  <w:footnote w:id="321">
    <w:p w14:paraId="725D6427" w14:textId="77777777" w:rsidR="001276F4" w:rsidRDefault="001276F4" w:rsidP="00781601">
      <w:pPr>
        <w:pStyle w:val="FootnoteText"/>
        <w:widowControl/>
      </w:pPr>
      <w:r>
        <w:rPr>
          <w:rStyle w:val="FootnoteReference"/>
        </w:rPr>
        <w:footnoteRef/>
      </w:r>
      <w:r>
        <w:t xml:space="preserve"> </w:t>
      </w:r>
      <w:r>
        <w:rPr>
          <w:i/>
          <w:iCs/>
        </w:rPr>
        <w:t>Id.</w:t>
      </w:r>
      <w:r>
        <w:t xml:space="preserve"> (citing </w:t>
      </w:r>
      <w:r w:rsidR="0022220B" w:rsidRPr="005F46EB">
        <w:rPr>
          <w:i/>
          <w:iCs/>
        </w:rPr>
        <w:t>Del. Riverkeeper Network v. FERC</w:t>
      </w:r>
      <w:r w:rsidR="0022220B" w:rsidRPr="0022220B">
        <w:t>, 753 F.3d 1304, 1310 (D.C. Cir. 2014)</w:t>
      </w:r>
      <w:r w:rsidR="0022220B">
        <w:t xml:space="preserve"> (</w:t>
      </w:r>
      <w:r w:rsidR="0022220B" w:rsidRPr="005F46EB">
        <w:rPr>
          <w:i/>
          <w:iCs/>
        </w:rPr>
        <w:t>Del. Riverkeeper</w:t>
      </w:r>
      <w:r w:rsidR="0022220B">
        <w:t xml:space="preserve">) </w:t>
      </w:r>
      <w:r w:rsidRPr="00A77055">
        <w:t>(quoting</w:t>
      </w:r>
      <w:r>
        <w:t xml:space="preserve"> </w:t>
      </w:r>
      <w:r w:rsidRPr="00A77055">
        <w:rPr>
          <w:i/>
          <w:iCs/>
        </w:rPr>
        <w:t>Scientists’ Inst. for Pub. Info., Inc. v. Atomic Energy Comm’n</w:t>
      </w:r>
      <w:r w:rsidRPr="00A77055">
        <w:t>, 481 F.2d 1079, 1092 (D.C. Cir.</w:t>
      </w:r>
      <w:r>
        <w:t xml:space="preserve"> </w:t>
      </w:r>
      <w:r w:rsidRPr="002E3F6B">
        <w:t>1973)</w:t>
      </w:r>
      <w:r w:rsidR="008E3B34">
        <w:t xml:space="preserve"> (</w:t>
      </w:r>
      <w:r w:rsidR="008E3B34" w:rsidRPr="005F46EB">
        <w:rPr>
          <w:i/>
          <w:iCs/>
        </w:rPr>
        <w:t>Scientists’ Inst.</w:t>
      </w:r>
      <w:r w:rsidR="008E3B34">
        <w:t>)</w:t>
      </w:r>
      <w:r>
        <w:t xml:space="preserve">).  We note that, elsewhere in their rehearing request, Petitioners argue that the CP2 LNG Project will not even have enough offtake agreements in place to proceed to Phase II of construction (i.e., 10 to 14 MTPA).  Here, Petitioners insinuate that CP2 LNG will be operating at peak achievable capacity of 28 MTPA.  These inconsistent positions undermine Petitioners’ arguments.  </w:t>
      </w:r>
    </w:p>
  </w:footnote>
  <w:footnote w:id="322">
    <w:p w14:paraId="03D8233C" w14:textId="77777777" w:rsidR="001276F4" w:rsidRDefault="001276F4" w:rsidP="001276F4">
      <w:pPr>
        <w:pStyle w:val="FootnoteText"/>
      </w:pPr>
      <w:r>
        <w:rPr>
          <w:rStyle w:val="FootnoteReference"/>
        </w:rPr>
        <w:footnoteRef/>
      </w:r>
      <w:r>
        <w:t xml:space="preserve"> Authorization Order, 187 FERC ¶ 61,199 at P 5</w:t>
      </w:r>
    </w:p>
  </w:footnote>
  <w:footnote w:id="323">
    <w:p w14:paraId="15CC5A0A" w14:textId="77777777" w:rsidR="001276F4" w:rsidRDefault="001276F4" w:rsidP="001276F4">
      <w:pPr>
        <w:pStyle w:val="FootnoteText"/>
      </w:pPr>
      <w:r>
        <w:rPr>
          <w:rStyle w:val="FootnoteReference"/>
        </w:rPr>
        <w:footnoteRef/>
      </w:r>
      <w:r>
        <w:t xml:space="preserve"> Final EIS at 2-8. </w:t>
      </w:r>
    </w:p>
  </w:footnote>
  <w:footnote w:id="324">
    <w:p w14:paraId="5BA6EFAC" w14:textId="77777777" w:rsidR="001276F4" w:rsidRDefault="001276F4" w:rsidP="001276F4">
      <w:pPr>
        <w:pStyle w:val="FootnoteText"/>
      </w:pPr>
      <w:r>
        <w:rPr>
          <w:rStyle w:val="FootnoteReference"/>
        </w:rPr>
        <w:footnoteRef/>
      </w:r>
      <w:r>
        <w:t xml:space="preserve"> </w:t>
      </w:r>
      <w:r>
        <w:rPr>
          <w:i/>
          <w:iCs/>
        </w:rPr>
        <w:t>Id.</w:t>
      </w:r>
      <w:r>
        <w:t xml:space="preserve"> at 4-356, </w:t>
      </w:r>
      <w:r w:rsidRPr="005A1E05">
        <w:t xml:space="preserve">tables 4.12.1-14 </w:t>
      </w:r>
      <w:r>
        <w:t xml:space="preserve">(summarizing the </w:t>
      </w:r>
      <w:r w:rsidRPr="00946F91">
        <w:t>estimated highest annual emissions associated with</w:t>
      </w:r>
      <w:r w:rsidR="00781601">
        <w:t xml:space="preserve">:  </w:t>
      </w:r>
      <w:r>
        <w:t xml:space="preserve">(1) </w:t>
      </w:r>
      <w:r w:rsidRPr="00946F91">
        <w:t>LNG carriers and tugboats maneuvering from the turning basin to the CP2 LNG Project pier</w:t>
      </w:r>
      <w:r w:rsidR="00781601">
        <w:t>;</w:t>
      </w:r>
      <w:r>
        <w:t xml:space="preserve"> </w:t>
      </w:r>
      <w:r w:rsidRPr="00946F91">
        <w:t>and (2) LNG carriers hoteling at the pier and tugboats idling nearby</w:t>
      </w:r>
      <w:r>
        <w:t xml:space="preserve">) </w:t>
      </w:r>
      <w:r w:rsidRPr="005A1E05">
        <w:t>and 4.12.15</w:t>
      </w:r>
      <w:r>
        <w:t xml:space="preserve"> (summarizing </w:t>
      </w:r>
      <w:r w:rsidRPr="000C2385">
        <w:t>estimated highest annual emissions associated with the following other operations of marine vessels:</w:t>
      </w:r>
      <w:r w:rsidR="00781601">
        <w:t xml:space="preserve">  </w:t>
      </w:r>
      <w:r w:rsidRPr="000C2385">
        <w:t>(1) LNG carriers and assist tugboats transiting the Calcasieu Ship Channel and operating in state waters; and (2) pilot boats operating in state waters</w:t>
      </w:r>
      <w:r>
        <w:t>).</w:t>
      </w:r>
    </w:p>
  </w:footnote>
  <w:footnote w:id="325">
    <w:p w14:paraId="2E45829C" w14:textId="77777777" w:rsidR="001276F4" w:rsidRPr="00A253A9" w:rsidRDefault="001276F4" w:rsidP="00781601">
      <w:pPr>
        <w:pStyle w:val="FootnoteText"/>
        <w:widowControl/>
      </w:pPr>
      <w:r>
        <w:rPr>
          <w:rStyle w:val="FootnoteReference"/>
        </w:rPr>
        <w:footnoteRef/>
      </w:r>
      <w:r>
        <w:t xml:space="preserve"> </w:t>
      </w:r>
      <w:r>
        <w:rPr>
          <w:i/>
          <w:iCs/>
        </w:rPr>
        <w:t>Id.</w:t>
      </w:r>
      <w:r>
        <w:t xml:space="preserve"> at 4-356; </w:t>
      </w:r>
      <w:r>
        <w:rPr>
          <w:i/>
          <w:iCs/>
        </w:rPr>
        <w:t>see also</w:t>
      </w:r>
      <w:r>
        <w:t xml:space="preserve"> </w:t>
      </w:r>
      <w:r>
        <w:rPr>
          <w:i/>
          <w:iCs/>
        </w:rPr>
        <w:t>id.</w:t>
      </w:r>
      <w:r>
        <w:t xml:space="preserve"> at 2-8 (explaining that the </w:t>
      </w:r>
      <w:r w:rsidRPr="00D00D2E">
        <w:t>marine berths on Monkey Island would accommodate LNG carriers ranging in size from 120,000 to 210,000 m</w:t>
      </w:r>
      <w:r w:rsidRPr="00D00D2E">
        <w:rPr>
          <w:vertAlign w:val="superscript"/>
        </w:rPr>
        <w:t>3</w:t>
      </w:r>
      <w:r>
        <w:t xml:space="preserve">).  </w:t>
      </w:r>
    </w:p>
  </w:footnote>
  <w:footnote w:id="326">
    <w:p w14:paraId="3BB06E71" w14:textId="77777777" w:rsidR="001276F4" w:rsidRDefault="001276F4" w:rsidP="001276F4">
      <w:pPr>
        <w:pStyle w:val="FootnoteText"/>
      </w:pPr>
      <w:r>
        <w:rPr>
          <w:rStyle w:val="FootnoteReference"/>
        </w:rPr>
        <w:footnoteRef/>
      </w:r>
      <w:r>
        <w:t xml:space="preserve"> Converting 28 MTPA into</w:t>
      </w:r>
      <w:r w:rsidDel="006907BB">
        <w:t xml:space="preserve"> </w:t>
      </w:r>
      <w:r>
        <w:t>cubic meters per year results in approximately 62,720,000 m</w:t>
      </w:r>
      <w:r w:rsidRPr="00FA2A34">
        <w:rPr>
          <w:vertAlign w:val="superscript"/>
        </w:rPr>
        <w:t>3</w:t>
      </w:r>
      <w:r>
        <w:t xml:space="preserve"> per year assuming an average LNG density of 446</w:t>
      </w:r>
      <w:r w:rsidR="00B2624C">
        <w:t xml:space="preserve"> kilograms per cubic meter</w:t>
      </w:r>
      <w:r>
        <w:t xml:space="preserve"> </w:t>
      </w:r>
      <w:r w:rsidR="00F725CE">
        <w:t>(</w:t>
      </w:r>
      <w:r>
        <w:t>kg/m</w:t>
      </w:r>
      <w:r w:rsidRPr="0076229F">
        <w:rPr>
          <w:vertAlign w:val="superscript"/>
        </w:rPr>
        <w:t>3</w:t>
      </w:r>
      <w:r w:rsidR="00F725CE">
        <w:t>).</w:t>
      </w:r>
      <w:r>
        <w:t xml:space="preserve">  Typical range of LNG densities within carriers is between 420 through 470 kg/m</w:t>
      </w:r>
      <w:r w:rsidRPr="00B41EAE">
        <w:rPr>
          <w:vertAlign w:val="superscript"/>
        </w:rPr>
        <w:t>3</w:t>
      </w:r>
      <w:r>
        <w:t>.  Assuming 412 carrier calls per year</w:t>
      </w:r>
      <w:r w:rsidR="00667747">
        <w:t xml:space="preserve">, the average ship size required would be </w:t>
      </w:r>
      <w:r w:rsidR="00ED478D">
        <w:t>152,</w:t>
      </w:r>
      <w:r w:rsidR="00CC7BCF">
        <w:t>223 m</w:t>
      </w:r>
      <w:r w:rsidR="00CC7BCF" w:rsidRPr="00C32C06">
        <w:rPr>
          <w:vertAlign w:val="superscript"/>
        </w:rPr>
        <w:t>3</w:t>
      </w:r>
      <w:r>
        <w:t xml:space="preserve"> </w:t>
      </w:r>
      <w:r w:rsidR="001D360E">
        <w:t>which is less than the average carrier size</w:t>
      </w:r>
      <w:r w:rsidR="00153124">
        <w:t xml:space="preserve">. </w:t>
      </w:r>
      <w:r w:rsidR="00821A81">
        <w:t xml:space="preserve"> </w:t>
      </w:r>
      <w:r w:rsidR="000748D3">
        <w:t>Therefore, 412 carrier calls per year</w:t>
      </w:r>
      <w:r>
        <w:t xml:space="preserve"> would be more than sufficient under peak operating conditions.</w:t>
      </w:r>
    </w:p>
  </w:footnote>
  <w:footnote w:id="327">
    <w:p w14:paraId="7A89C1BC" w14:textId="77777777" w:rsidR="001276F4" w:rsidRDefault="001276F4" w:rsidP="001276F4">
      <w:pPr>
        <w:pStyle w:val="FootnoteText"/>
      </w:pPr>
      <w:r>
        <w:rPr>
          <w:rStyle w:val="FootnoteReference"/>
        </w:rPr>
        <w:footnoteRef/>
      </w:r>
      <w:r>
        <w:t xml:space="preserve"> Final EIS at 4-361 </w:t>
      </w:r>
      <w:r w:rsidR="00795B4A">
        <w:t>to</w:t>
      </w:r>
      <w:r>
        <w:t xml:space="preserve"> 4-364.  </w:t>
      </w:r>
    </w:p>
  </w:footnote>
  <w:footnote w:id="328">
    <w:p w14:paraId="11DA3D97" w14:textId="77777777" w:rsidR="001276F4" w:rsidRDefault="001276F4" w:rsidP="001276F4">
      <w:pPr>
        <w:pStyle w:val="FootnoteText"/>
      </w:pPr>
      <w:r>
        <w:rPr>
          <w:rStyle w:val="FootnoteReference"/>
        </w:rPr>
        <w:footnoteRef/>
      </w:r>
      <w:r>
        <w:t xml:space="preserve"> </w:t>
      </w:r>
      <w:r w:rsidR="00795B4A">
        <w:t>Petitioners</w:t>
      </w:r>
      <w:r>
        <w:t xml:space="preserve"> Rehearing Request at 148.  </w:t>
      </w:r>
    </w:p>
  </w:footnote>
  <w:footnote w:id="329">
    <w:p w14:paraId="7C7979BB" w14:textId="77777777" w:rsidR="001276F4" w:rsidRDefault="001276F4" w:rsidP="001276F4">
      <w:pPr>
        <w:pStyle w:val="FootnoteText"/>
      </w:pPr>
      <w:r>
        <w:rPr>
          <w:rStyle w:val="FootnoteReference"/>
        </w:rPr>
        <w:footnoteRef/>
      </w:r>
      <w:r>
        <w:t xml:space="preserve"> </w:t>
      </w:r>
      <w:r>
        <w:rPr>
          <w:i/>
          <w:iCs/>
        </w:rPr>
        <w:t>Id.</w:t>
      </w:r>
      <w:r>
        <w:t xml:space="preserve">  </w:t>
      </w:r>
    </w:p>
  </w:footnote>
  <w:footnote w:id="330">
    <w:p w14:paraId="5B3FFDC2" w14:textId="77777777" w:rsidR="001276F4" w:rsidRDefault="001276F4" w:rsidP="001276F4">
      <w:pPr>
        <w:pStyle w:val="FootnoteText"/>
      </w:pPr>
      <w:r>
        <w:rPr>
          <w:rStyle w:val="FootnoteReference"/>
        </w:rPr>
        <w:footnoteRef/>
      </w:r>
      <w:r>
        <w:t xml:space="preserve"> </w:t>
      </w:r>
      <w:r>
        <w:rPr>
          <w:i/>
          <w:iCs/>
        </w:rPr>
        <w:t>Id.</w:t>
      </w:r>
      <w:r>
        <w:t xml:space="preserve"> (citing </w:t>
      </w:r>
      <w:r w:rsidRPr="002E0E0A">
        <w:t xml:space="preserve">Magnolia LNG, LLC, </w:t>
      </w:r>
      <w:r>
        <w:t xml:space="preserve">Notice of Application, </w:t>
      </w:r>
      <w:r w:rsidRPr="002E0E0A">
        <w:t xml:space="preserve">83 Fed. Reg. 63849 (Dec. 12, 2018); Golden Pass LNG Terminal LLC, </w:t>
      </w:r>
      <w:r>
        <w:t xml:space="preserve">Notice of Application, </w:t>
      </w:r>
      <w:r w:rsidR="00781601">
        <w:t xml:space="preserve">                         </w:t>
      </w:r>
      <w:r w:rsidRPr="002E0E0A">
        <w:t>85 Fed. Reg. 34187 (June 3, 2020)</w:t>
      </w:r>
      <w:r>
        <w:t>)</w:t>
      </w:r>
      <w:r w:rsidRPr="00DA1794">
        <w:t>.</w:t>
      </w:r>
    </w:p>
  </w:footnote>
  <w:footnote w:id="331">
    <w:p w14:paraId="40F6DB03" w14:textId="77777777" w:rsidR="001276F4" w:rsidRDefault="001276F4" w:rsidP="001276F4">
      <w:pPr>
        <w:pStyle w:val="FootnoteText"/>
      </w:pPr>
      <w:r>
        <w:rPr>
          <w:rStyle w:val="FootnoteReference"/>
        </w:rPr>
        <w:footnoteRef/>
      </w:r>
      <w:r>
        <w:t xml:space="preserve"> </w:t>
      </w:r>
      <w:r>
        <w:rPr>
          <w:i/>
          <w:iCs/>
        </w:rPr>
        <w:t>Id.</w:t>
      </w:r>
      <w:r>
        <w:t xml:space="preserve">   </w:t>
      </w:r>
    </w:p>
  </w:footnote>
  <w:footnote w:id="332">
    <w:p w14:paraId="593CCC45" w14:textId="77777777" w:rsidR="001276F4" w:rsidRDefault="001276F4" w:rsidP="001276F4">
      <w:pPr>
        <w:pStyle w:val="FootnoteText"/>
      </w:pPr>
      <w:r>
        <w:rPr>
          <w:rStyle w:val="FootnoteReference"/>
        </w:rPr>
        <w:footnoteRef/>
      </w:r>
      <w:r>
        <w:t xml:space="preserve"> </w:t>
      </w:r>
      <w:r>
        <w:rPr>
          <w:i/>
          <w:iCs/>
        </w:rPr>
        <w:t>Id.</w:t>
      </w:r>
      <w:r>
        <w:t xml:space="preserve"> at 148-49.  </w:t>
      </w:r>
    </w:p>
  </w:footnote>
  <w:footnote w:id="333">
    <w:p w14:paraId="0C75462A" w14:textId="77777777" w:rsidR="001276F4" w:rsidRDefault="001276F4" w:rsidP="007C073E">
      <w:pPr>
        <w:pStyle w:val="FootnoteText"/>
      </w:pPr>
      <w:r>
        <w:rPr>
          <w:rStyle w:val="FootnoteReference"/>
        </w:rPr>
        <w:footnoteRef/>
      </w:r>
      <w:r>
        <w:t xml:space="preserve"> </w:t>
      </w:r>
      <w:r w:rsidR="007C073E" w:rsidRPr="005F46EB">
        <w:rPr>
          <w:i/>
          <w:iCs/>
        </w:rPr>
        <w:t>Nat’l Wildlife Fed’n v. FERC</w:t>
      </w:r>
      <w:r w:rsidR="007C073E" w:rsidRPr="007C073E">
        <w:t>, 912 F.2d 1471, 1478 (D.C. Cir. 1990)</w:t>
      </w:r>
      <w:r w:rsidR="007C073E">
        <w:t xml:space="preserve"> </w:t>
      </w:r>
      <w:r w:rsidR="00781601">
        <w:t xml:space="preserve">                   </w:t>
      </w:r>
      <w:r w:rsidR="007C073E">
        <w:t>(</w:t>
      </w:r>
      <w:r w:rsidR="007C073E" w:rsidRPr="005F46EB">
        <w:rPr>
          <w:i/>
          <w:iCs/>
        </w:rPr>
        <w:t>Nat’l Wildlife</w:t>
      </w:r>
      <w:r w:rsidR="007C073E">
        <w:t>)</w:t>
      </w:r>
      <w:r w:rsidR="00A725DB">
        <w:t xml:space="preserve">; </w:t>
      </w:r>
      <w:r w:rsidR="00A725DB" w:rsidRPr="005B555E">
        <w:rPr>
          <w:i/>
          <w:iCs/>
        </w:rPr>
        <w:t>Kleppe</w:t>
      </w:r>
      <w:r w:rsidR="00A725DB" w:rsidRPr="005B555E">
        <w:t xml:space="preserve">, 427 U.S. </w:t>
      </w:r>
      <w:r w:rsidR="00A725DB">
        <w:t>at</w:t>
      </w:r>
      <w:r w:rsidR="00A725DB" w:rsidRPr="005B555E">
        <w:t xml:space="preserve"> 410</w:t>
      </w:r>
      <w:r w:rsidR="007C073E">
        <w:t xml:space="preserve">. </w:t>
      </w:r>
    </w:p>
  </w:footnote>
  <w:footnote w:id="334">
    <w:p w14:paraId="0A117D99" w14:textId="77777777" w:rsidR="009F0C99" w:rsidRDefault="009F0C99" w:rsidP="009F0C99">
      <w:pPr>
        <w:pStyle w:val="FootnoteText"/>
      </w:pPr>
      <w:r>
        <w:rPr>
          <w:rStyle w:val="FootnoteReference"/>
        </w:rPr>
        <w:footnoteRef/>
      </w:r>
      <w:r>
        <w:t xml:space="preserve"> </w:t>
      </w:r>
      <w:r w:rsidRPr="00711AE0">
        <w:t xml:space="preserve">912 F.2d </w:t>
      </w:r>
      <w:r>
        <w:t xml:space="preserve">at </w:t>
      </w:r>
      <w:r w:rsidRPr="00711AE0">
        <w:t>147</w:t>
      </w:r>
      <w:r>
        <w:t>7-79.</w:t>
      </w:r>
    </w:p>
  </w:footnote>
  <w:footnote w:id="335">
    <w:p w14:paraId="5C0BFCDE" w14:textId="77777777" w:rsidR="001276F4" w:rsidRDefault="001276F4" w:rsidP="001276F4">
      <w:pPr>
        <w:pStyle w:val="FootnoteText"/>
      </w:pPr>
      <w:r>
        <w:rPr>
          <w:rStyle w:val="FootnoteReference"/>
        </w:rPr>
        <w:footnoteRef/>
      </w:r>
      <w:r>
        <w:t xml:space="preserve"> </w:t>
      </w:r>
      <w:r w:rsidR="000B3B14">
        <w:t>Petitioners</w:t>
      </w:r>
      <w:r>
        <w:t xml:space="preserve"> Rehearing Request at 148; </w:t>
      </w:r>
      <w:r>
        <w:rPr>
          <w:i/>
          <w:iCs/>
        </w:rPr>
        <w:t>see, e.g.,</w:t>
      </w:r>
      <w:r>
        <w:t xml:space="preserve"> </w:t>
      </w:r>
      <w:r w:rsidRPr="006C66F6">
        <w:rPr>
          <w:i/>
          <w:iCs/>
        </w:rPr>
        <w:t>Freeport LNG Dev., L.P.</w:t>
      </w:r>
      <w:r w:rsidRPr="003C6F82">
        <w:t xml:space="preserve">, </w:t>
      </w:r>
      <w:r w:rsidR="00781601">
        <w:t xml:space="preserve">             </w:t>
      </w:r>
      <w:r w:rsidRPr="003C6F82">
        <w:t>180 FERC ¶ 61,055 (2022)</w:t>
      </w:r>
      <w:r>
        <w:t xml:space="preserve"> (amending authorization under NGA section 3 to reflect uprated capacity); </w:t>
      </w:r>
      <w:r w:rsidRPr="006C66F6">
        <w:rPr>
          <w:i/>
          <w:iCs/>
        </w:rPr>
        <w:t>Sabine Pass Liquefaction, LLC</w:t>
      </w:r>
      <w:r w:rsidRPr="006026F7">
        <w:t>, 177 FERC ¶ 61,030</w:t>
      </w:r>
      <w:r>
        <w:t xml:space="preserve"> </w:t>
      </w:r>
      <w:r w:rsidRPr="006026F7">
        <w:t>(2021)</w:t>
      </w:r>
      <w:r>
        <w:t xml:space="preserve"> (same).  </w:t>
      </w:r>
    </w:p>
  </w:footnote>
  <w:footnote w:id="336">
    <w:p w14:paraId="52F0C9E2" w14:textId="77777777" w:rsidR="001276F4" w:rsidRDefault="001276F4" w:rsidP="001276F4">
      <w:pPr>
        <w:pStyle w:val="FootnoteText"/>
      </w:pPr>
      <w:r>
        <w:rPr>
          <w:rStyle w:val="FootnoteReference"/>
        </w:rPr>
        <w:footnoteRef/>
      </w:r>
      <w:r>
        <w:t xml:space="preserve"> </w:t>
      </w:r>
      <w:r w:rsidR="005877DA">
        <w:t>Petitioners</w:t>
      </w:r>
      <w:r>
        <w:t xml:space="preserve"> Rehearing Request at 149-50.  </w:t>
      </w:r>
    </w:p>
  </w:footnote>
  <w:footnote w:id="337">
    <w:p w14:paraId="7A7DB8E4" w14:textId="77777777" w:rsidR="001276F4" w:rsidRDefault="001276F4" w:rsidP="001276F4">
      <w:pPr>
        <w:pStyle w:val="FootnoteText"/>
      </w:pPr>
      <w:r>
        <w:rPr>
          <w:rStyle w:val="FootnoteReference"/>
        </w:rPr>
        <w:footnoteRef/>
      </w:r>
      <w:r>
        <w:t xml:space="preserve"> </w:t>
      </w:r>
      <w:r>
        <w:rPr>
          <w:i/>
          <w:iCs/>
        </w:rPr>
        <w:t>Id.</w:t>
      </w:r>
      <w:r>
        <w:rPr>
          <w:i/>
        </w:rPr>
        <w:t xml:space="preserve"> </w:t>
      </w:r>
      <w:r>
        <w:t xml:space="preserve">at 149-51 (citing EPA March 13, 2023 </w:t>
      </w:r>
      <w:r w:rsidRPr="002E0E0A">
        <w:t xml:space="preserve">Comments </w:t>
      </w:r>
      <w:r>
        <w:t xml:space="preserve">to Draft EIS </w:t>
      </w:r>
      <w:r w:rsidRPr="002E0E0A">
        <w:t xml:space="preserve">at 3 and </w:t>
      </w:r>
      <w:r>
        <w:t xml:space="preserve">EPA September 1, 2023 Comments to Final EIS).   </w:t>
      </w:r>
    </w:p>
  </w:footnote>
  <w:footnote w:id="338">
    <w:p w14:paraId="442B0235" w14:textId="77777777" w:rsidR="001276F4" w:rsidRDefault="001276F4" w:rsidP="001276F4">
      <w:pPr>
        <w:pStyle w:val="FootnoteText"/>
      </w:pPr>
      <w:r>
        <w:rPr>
          <w:rStyle w:val="FootnoteReference"/>
        </w:rPr>
        <w:footnoteRef/>
      </w:r>
      <w:r>
        <w:t xml:space="preserve"> </w:t>
      </w:r>
      <w:r>
        <w:rPr>
          <w:i/>
          <w:iCs/>
        </w:rPr>
        <w:t>Id.</w:t>
      </w:r>
      <w:r>
        <w:rPr>
          <w:i/>
        </w:rPr>
        <w:t xml:space="preserve"> </w:t>
      </w:r>
      <w:r>
        <w:t xml:space="preserve">at 150-51 (citing </w:t>
      </w:r>
      <w:r w:rsidRPr="006347D5">
        <w:rPr>
          <w:i/>
          <w:iCs/>
        </w:rPr>
        <w:t>Cabinet Mountains Wilderness/Scothman’s Peak Grizzly Bears v. Peterson</w:t>
      </w:r>
      <w:r w:rsidRPr="006347D5">
        <w:t>, 685 F.2d 678,</w:t>
      </w:r>
      <w:r>
        <w:t xml:space="preserve"> </w:t>
      </w:r>
      <w:r w:rsidRPr="006347D5">
        <w:t>681-82 (D.C. Cir. 1982)</w:t>
      </w:r>
      <w:r>
        <w:t xml:space="preserve"> and </w:t>
      </w:r>
      <w:r w:rsidRPr="00BC3784">
        <w:rPr>
          <w:i/>
          <w:iCs/>
        </w:rPr>
        <w:t xml:space="preserve">O’Reilly v. U.S. Army Corps of </w:t>
      </w:r>
      <w:r w:rsidR="00AB07C1">
        <w:rPr>
          <w:i/>
          <w:iCs/>
        </w:rPr>
        <w:t>Eng’r</w:t>
      </w:r>
      <w:r w:rsidRPr="00BC3784">
        <w:rPr>
          <w:i/>
          <w:iCs/>
        </w:rPr>
        <w:t>s</w:t>
      </w:r>
      <w:r w:rsidRPr="00BC3784">
        <w:t>, 477 F.3d 225, 234 (5th Cir. 2007)</w:t>
      </w:r>
      <w:r>
        <w:t xml:space="preserve">).  </w:t>
      </w:r>
    </w:p>
  </w:footnote>
  <w:footnote w:id="339">
    <w:p w14:paraId="41007D00" w14:textId="77777777" w:rsidR="001276F4" w:rsidRDefault="001276F4" w:rsidP="001276F4">
      <w:pPr>
        <w:pStyle w:val="FootnoteText"/>
      </w:pPr>
      <w:r>
        <w:rPr>
          <w:rStyle w:val="FootnoteReference"/>
        </w:rPr>
        <w:footnoteRef/>
      </w:r>
      <w:r>
        <w:t xml:space="preserve"> </w:t>
      </w:r>
      <w:r>
        <w:rPr>
          <w:i/>
          <w:iCs/>
        </w:rPr>
        <w:t>Id.</w:t>
      </w:r>
      <w:r>
        <w:rPr>
          <w:i/>
        </w:rPr>
        <w:t xml:space="preserve"> </w:t>
      </w:r>
      <w:r>
        <w:t xml:space="preserve">at 151 (citing Authorization Order, 187 FERC ¶ 61,199 at P 118).  </w:t>
      </w:r>
    </w:p>
  </w:footnote>
  <w:footnote w:id="340">
    <w:p w14:paraId="4AC8495C" w14:textId="77777777" w:rsidR="001276F4" w:rsidRDefault="001276F4" w:rsidP="00781601">
      <w:pPr>
        <w:pStyle w:val="FootnoteText"/>
        <w:widowControl/>
      </w:pPr>
      <w:r>
        <w:rPr>
          <w:rStyle w:val="FootnoteReference"/>
        </w:rPr>
        <w:footnoteRef/>
      </w:r>
      <w:r>
        <w:t xml:space="preserve"> Authorization Order, 187 FERC ¶ 61,199 at P 115 (citing </w:t>
      </w:r>
      <w:r w:rsidRPr="0047718E">
        <w:t>EPA September 1, 2023 Comments at 2</w:t>
      </w:r>
      <w:r>
        <w:t xml:space="preserve">). </w:t>
      </w:r>
    </w:p>
  </w:footnote>
  <w:footnote w:id="341">
    <w:p w14:paraId="00B31888" w14:textId="77777777" w:rsidR="001276F4" w:rsidRDefault="001276F4" w:rsidP="001276F4">
      <w:pPr>
        <w:pStyle w:val="FootnoteText"/>
      </w:pPr>
      <w:r>
        <w:rPr>
          <w:rStyle w:val="FootnoteReference"/>
        </w:rPr>
        <w:footnoteRef/>
      </w:r>
      <w:r>
        <w:t xml:space="preserve"> </w:t>
      </w:r>
      <w:r>
        <w:rPr>
          <w:i/>
          <w:iCs/>
        </w:rPr>
        <w:t>Id.</w:t>
      </w:r>
      <w:r>
        <w:t xml:space="preserve"> P 117 (citing final EIS at </w:t>
      </w:r>
      <w:r w:rsidRPr="00D73EAF">
        <w:t>3-355</w:t>
      </w:r>
      <w:r>
        <w:t xml:space="preserve"> </w:t>
      </w:r>
      <w:r w:rsidR="00791F40">
        <w:t>to</w:t>
      </w:r>
      <w:r>
        <w:t xml:space="preserve"> 3-356). </w:t>
      </w:r>
    </w:p>
  </w:footnote>
  <w:footnote w:id="342">
    <w:p w14:paraId="71C0BF2B" w14:textId="77777777" w:rsidR="001276F4" w:rsidRPr="00C6717F" w:rsidRDefault="001276F4" w:rsidP="001276F4">
      <w:pPr>
        <w:pStyle w:val="FootnoteText"/>
      </w:pPr>
      <w:r>
        <w:rPr>
          <w:rStyle w:val="FootnoteReference"/>
        </w:rPr>
        <w:footnoteRef/>
      </w:r>
      <w:r>
        <w:t xml:space="preserve"> </w:t>
      </w:r>
      <w:r>
        <w:rPr>
          <w:i/>
          <w:iCs/>
        </w:rPr>
        <w:t>Id.</w:t>
      </w:r>
      <w:r>
        <w:t xml:space="preserve"> P 118 (citing final EIS at 1-14).  </w:t>
      </w:r>
    </w:p>
  </w:footnote>
  <w:footnote w:id="343">
    <w:p w14:paraId="0A72C372" w14:textId="77777777" w:rsidR="001276F4" w:rsidRPr="0022600D" w:rsidRDefault="001276F4" w:rsidP="001276F4">
      <w:pPr>
        <w:pStyle w:val="FootnoteText"/>
      </w:pPr>
      <w:r>
        <w:rPr>
          <w:rStyle w:val="FootnoteReference"/>
        </w:rPr>
        <w:footnoteRef/>
      </w:r>
      <w:r>
        <w:t xml:space="preserve"> </w:t>
      </w:r>
      <w:r>
        <w:rPr>
          <w:i/>
          <w:iCs/>
        </w:rPr>
        <w:t>Id.</w:t>
      </w:r>
      <w:r>
        <w:t xml:space="preserve"> envtl cond. 6.  For more information regarding the Air Quality Plan, </w:t>
      </w:r>
      <w:r>
        <w:rPr>
          <w:i/>
          <w:iCs/>
        </w:rPr>
        <w:t>see</w:t>
      </w:r>
      <w:r>
        <w:t xml:space="preserve"> </w:t>
      </w:r>
      <w:r>
        <w:rPr>
          <w:i/>
          <w:iCs/>
        </w:rPr>
        <w:t>id.</w:t>
      </w:r>
      <w:r>
        <w:t xml:space="preserve"> P 118 and final EIS 1-14, 4-323 </w:t>
      </w:r>
      <w:r w:rsidR="00791F40">
        <w:t>to</w:t>
      </w:r>
      <w:r>
        <w:t xml:space="preserve"> 4-324, 4-355 </w:t>
      </w:r>
      <w:r w:rsidR="00791F40">
        <w:t>to</w:t>
      </w:r>
      <w:r>
        <w:t xml:space="preserve"> 4-356, 4-551, and 5-21.  </w:t>
      </w:r>
    </w:p>
  </w:footnote>
  <w:footnote w:id="344">
    <w:p w14:paraId="6FC09DF0" w14:textId="77777777" w:rsidR="001276F4" w:rsidRPr="00493BBA" w:rsidRDefault="001276F4" w:rsidP="001276F4">
      <w:pPr>
        <w:pStyle w:val="FootnoteText"/>
      </w:pPr>
      <w:r>
        <w:rPr>
          <w:rStyle w:val="FootnoteReference"/>
        </w:rPr>
        <w:footnoteRef/>
      </w:r>
      <w:r>
        <w:t xml:space="preserve"> </w:t>
      </w:r>
      <w:r w:rsidRPr="00DD05FE">
        <w:rPr>
          <w:i/>
          <w:iCs/>
        </w:rPr>
        <w:t>Tex</w:t>
      </w:r>
      <w:r>
        <w:rPr>
          <w:i/>
          <w:iCs/>
        </w:rPr>
        <w:t>.</w:t>
      </w:r>
      <w:r w:rsidRPr="00DD05FE">
        <w:rPr>
          <w:i/>
          <w:iCs/>
        </w:rPr>
        <w:t xml:space="preserve"> LNG Brownsville LLC</w:t>
      </w:r>
      <w:r w:rsidRPr="00DD05FE">
        <w:t>, 183 FERC ¶ 61,047</w:t>
      </w:r>
      <w:r>
        <w:t>, at P 70</w:t>
      </w:r>
      <w:r w:rsidRPr="00DD05FE">
        <w:t xml:space="preserve"> (2023)</w:t>
      </w:r>
      <w:r>
        <w:t xml:space="preserve">, </w:t>
      </w:r>
      <w:r>
        <w:rPr>
          <w:i/>
          <w:iCs/>
        </w:rPr>
        <w:t>vacated on other grounds</w:t>
      </w:r>
      <w:r>
        <w:t xml:space="preserve">, </w:t>
      </w:r>
      <w:r w:rsidRPr="00A950F7">
        <w:rPr>
          <w:i/>
          <w:iCs/>
        </w:rPr>
        <w:t>City of Port Isabel</w:t>
      </w:r>
      <w:r w:rsidRPr="00A950F7">
        <w:t>, 111 F.4th 1198</w:t>
      </w:r>
      <w:r>
        <w:t xml:space="preserve">; </w:t>
      </w:r>
      <w:r w:rsidRPr="00122ADD">
        <w:rPr>
          <w:i/>
          <w:iCs/>
        </w:rPr>
        <w:t>Rio Grande LNG, LLC</w:t>
      </w:r>
      <w:r w:rsidRPr="00122ADD">
        <w:t xml:space="preserve">, 183 FERC </w:t>
      </w:r>
      <w:r w:rsidR="00781601">
        <w:t xml:space="preserve">         </w:t>
      </w:r>
      <w:r w:rsidRPr="00122ADD">
        <w:t>¶ 61,046</w:t>
      </w:r>
      <w:r w:rsidR="008712FE">
        <w:t>,</w:t>
      </w:r>
      <w:r>
        <w:t xml:space="preserve"> at P 142</w:t>
      </w:r>
      <w:r w:rsidR="008712FE">
        <w:t xml:space="preserve"> (2023)</w:t>
      </w:r>
      <w:r>
        <w:t xml:space="preserve">, </w:t>
      </w:r>
      <w:r>
        <w:rPr>
          <w:i/>
          <w:iCs/>
        </w:rPr>
        <w:t>vacated on other grounds</w:t>
      </w:r>
      <w:r>
        <w:t xml:space="preserve">, </w:t>
      </w:r>
      <w:r w:rsidRPr="00A950F7">
        <w:rPr>
          <w:i/>
          <w:iCs/>
        </w:rPr>
        <w:t>City of Port Isabel</w:t>
      </w:r>
      <w:r w:rsidRPr="00A950F7">
        <w:t>, 111 F.4th 1198</w:t>
      </w:r>
      <w:r>
        <w:t xml:space="preserve">; </w:t>
      </w:r>
      <w:r>
        <w:rPr>
          <w:i/>
          <w:iCs/>
        </w:rPr>
        <w:t>see also</w:t>
      </w:r>
      <w:r>
        <w:t xml:space="preserve"> </w:t>
      </w:r>
      <w:r w:rsidRPr="00493BBA">
        <w:rPr>
          <w:i/>
          <w:iCs/>
        </w:rPr>
        <w:t>Transcon. Gas Pipe Line Co.</w:t>
      </w:r>
      <w:r w:rsidRPr="00493BBA">
        <w:t>, 160 FERC ¶ 61,042</w:t>
      </w:r>
      <w:r>
        <w:t>, at P 10</w:t>
      </w:r>
      <w:r w:rsidRPr="00493BBA">
        <w:t xml:space="preserve"> (2017)</w:t>
      </w:r>
      <w:r>
        <w:t xml:space="preserve"> (requiring applicant to monitor air quality and develop a plan of action to correct any violation of the NAAQS).  </w:t>
      </w:r>
    </w:p>
  </w:footnote>
  <w:footnote w:id="345">
    <w:p w14:paraId="4B7802DD" w14:textId="77777777" w:rsidR="007A497D" w:rsidRDefault="007A497D" w:rsidP="00970433">
      <w:pPr>
        <w:pStyle w:val="FootnoteText"/>
        <w:widowControl/>
      </w:pPr>
      <w:r>
        <w:rPr>
          <w:rStyle w:val="FootnoteReference"/>
        </w:rPr>
        <w:footnoteRef/>
      </w:r>
      <w:r>
        <w:t xml:space="preserve"> </w:t>
      </w:r>
      <w:r w:rsidRPr="00153C54">
        <w:t xml:space="preserve">In fact, “NEPA not only does not require agencies to discuss any particular mitigation plans that they might put in place, it does not require agencies—or third parties—to effect any.”  </w:t>
      </w:r>
      <w:r w:rsidRPr="00153C54">
        <w:rPr>
          <w:i/>
          <w:iCs/>
        </w:rPr>
        <w:t>Citizens Against Burlington, Inc. v. Busey</w:t>
      </w:r>
      <w:r w:rsidRPr="00153C54">
        <w:t xml:space="preserve">, 938 F.2d 190, 206 (D.C. Cir. 1991) (citing </w:t>
      </w:r>
      <w:r w:rsidRPr="00153C54">
        <w:rPr>
          <w:i/>
          <w:iCs/>
        </w:rPr>
        <w:t>Methow Valley</w:t>
      </w:r>
      <w:r w:rsidRPr="00153C54">
        <w:t xml:space="preserve">, 490 U.S. at 352-53 &amp; n.16).  Accordingly, the Supreme Court has held that “it would be inconsistent with NEPA’s reliance on procedural mechanisms—as opposed to substantive, result-based standards—to demand the presence of a fully developed plan that will mitigate environmental harm before an agency can act.”  </w:t>
      </w:r>
      <w:r w:rsidRPr="00153C54">
        <w:rPr>
          <w:i/>
          <w:iCs/>
        </w:rPr>
        <w:t>Methow Valley</w:t>
      </w:r>
      <w:r w:rsidRPr="00153C54">
        <w:t>, 490 U.S. at 353.</w:t>
      </w:r>
    </w:p>
  </w:footnote>
  <w:footnote w:id="346">
    <w:p w14:paraId="5612A9BB" w14:textId="77777777" w:rsidR="001276F4" w:rsidRDefault="001276F4" w:rsidP="001276F4">
      <w:pPr>
        <w:pStyle w:val="FootnoteText"/>
      </w:pPr>
      <w:r>
        <w:rPr>
          <w:rStyle w:val="FootnoteReference"/>
        </w:rPr>
        <w:footnoteRef/>
      </w:r>
      <w:r>
        <w:t xml:space="preserve"> </w:t>
      </w:r>
      <w:r w:rsidR="00C17C48">
        <w:t>Petitioners</w:t>
      </w:r>
      <w:r>
        <w:t xml:space="preserve"> Rehearing Request at 151.  </w:t>
      </w:r>
    </w:p>
  </w:footnote>
  <w:footnote w:id="347">
    <w:p w14:paraId="250655C9" w14:textId="77777777" w:rsidR="001276F4" w:rsidRPr="00F265BD" w:rsidRDefault="001276F4" w:rsidP="001276F4">
      <w:pPr>
        <w:pStyle w:val="FootnoteText"/>
      </w:pPr>
      <w:r>
        <w:rPr>
          <w:rStyle w:val="FootnoteReference"/>
        </w:rPr>
        <w:footnoteRef/>
      </w:r>
      <w:r>
        <w:t xml:space="preserve"> Final EIS at 4-346 </w:t>
      </w:r>
      <w:r w:rsidR="00C17C48">
        <w:t>to</w:t>
      </w:r>
      <w:r>
        <w:t xml:space="preserve"> 4-356.  As discussed above, the Commission appropriately relied on state-submitted air modeling, which excluded mobile sources.  </w:t>
      </w:r>
      <w:r w:rsidRPr="00AA1138">
        <w:rPr>
          <w:i/>
        </w:rPr>
        <w:t>See supra</w:t>
      </w:r>
      <w:r w:rsidRPr="00AA1138">
        <w:t xml:space="preserve"> </w:t>
      </w:r>
      <w:r w:rsidR="00462476" w:rsidRPr="00EF1855">
        <w:t>section I.</w:t>
      </w:r>
      <w:r w:rsidR="007C24ED" w:rsidRPr="00EF1855">
        <w:t>B.1 &amp;</w:t>
      </w:r>
      <w:r w:rsidRPr="00EF1855">
        <w:t xml:space="preserve"> </w:t>
      </w:r>
      <w:r w:rsidR="00754771" w:rsidRPr="00EF1855">
        <w:t xml:space="preserve">PP </w:t>
      </w:r>
      <w:r w:rsidR="00283A89">
        <w:t>61</w:t>
      </w:r>
      <w:r w:rsidR="00AA1138" w:rsidRPr="00EF1855">
        <w:t>-</w:t>
      </w:r>
      <w:r w:rsidR="00283A89">
        <w:t>63</w:t>
      </w:r>
      <w:r w:rsidRPr="00EF1855">
        <w:t>.</w:t>
      </w:r>
      <w:r>
        <w:t xml:space="preserve">  The Commission, however, appropriately included the cumulative impacts from construction activities of nearby projects, including CP1 LNG, Driftwood LNG, the Lake Charles Liquefaction Project, the Louisiana Connector Project, and the Hackberry Storage Project. </w:t>
      </w:r>
      <w:r>
        <w:rPr>
          <w:i/>
          <w:iCs/>
        </w:rPr>
        <w:t xml:space="preserve"> See</w:t>
      </w:r>
      <w:r>
        <w:t xml:space="preserve"> </w:t>
      </w:r>
      <w:r w:rsidR="00426FAC">
        <w:t>f</w:t>
      </w:r>
      <w:r>
        <w:t xml:space="preserve">inal EIS at 4-511 </w:t>
      </w:r>
      <w:r w:rsidR="00D851E7">
        <w:t>to</w:t>
      </w:r>
      <w:r>
        <w:t xml:space="preserve"> 4-517 (listing, in total, 24 projects and reasonably foreseeable future action with the potential to contribute to cumulative impacts).   </w:t>
      </w:r>
    </w:p>
  </w:footnote>
  <w:footnote w:id="348">
    <w:p w14:paraId="7F15B43E" w14:textId="77777777" w:rsidR="001276F4" w:rsidRDefault="001276F4" w:rsidP="001276F4">
      <w:pPr>
        <w:pStyle w:val="FootnoteText"/>
      </w:pPr>
      <w:r>
        <w:rPr>
          <w:rStyle w:val="FootnoteReference"/>
        </w:rPr>
        <w:footnoteRef/>
      </w:r>
      <w:r>
        <w:t xml:space="preserve"> Final EIS at 4-354.  </w:t>
      </w:r>
    </w:p>
  </w:footnote>
  <w:footnote w:id="349">
    <w:p w14:paraId="7EB09F83" w14:textId="77777777" w:rsidR="001276F4" w:rsidRDefault="001276F4" w:rsidP="001276F4">
      <w:pPr>
        <w:pStyle w:val="FootnoteText"/>
      </w:pPr>
      <w:r>
        <w:rPr>
          <w:rStyle w:val="FootnoteReference"/>
        </w:rPr>
        <w:footnoteRef/>
      </w:r>
      <w:r>
        <w:t xml:space="preserve"> </w:t>
      </w:r>
      <w:r>
        <w:rPr>
          <w:i/>
          <w:iCs/>
        </w:rPr>
        <w:t>Id.</w:t>
      </w:r>
      <w:r>
        <w:t xml:space="preserve"> </w:t>
      </w:r>
    </w:p>
  </w:footnote>
  <w:footnote w:id="350">
    <w:p w14:paraId="58E4617E" w14:textId="77777777" w:rsidR="001276F4" w:rsidRDefault="001276F4" w:rsidP="001276F4">
      <w:pPr>
        <w:pStyle w:val="FootnoteText"/>
      </w:pPr>
      <w:r>
        <w:rPr>
          <w:rStyle w:val="FootnoteReference"/>
        </w:rPr>
        <w:footnoteRef/>
      </w:r>
      <w:r>
        <w:t xml:space="preserve"> </w:t>
      </w:r>
      <w:r>
        <w:rPr>
          <w:i/>
          <w:iCs/>
        </w:rPr>
        <w:t>Id.</w:t>
      </w:r>
      <w:r>
        <w:t xml:space="preserve"> </w:t>
      </w:r>
    </w:p>
  </w:footnote>
  <w:footnote w:id="351">
    <w:p w14:paraId="4C7D172F" w14:textId="77777777" w:rsidR="001276F4" w:rsidRDefault="001276F4" w:rsidP="001276F4">
      <w:pPr>
        <w:pStyle w:val="FootnoteText"/>
      </w:pPr>
      <w:r>
        <w:rPr>
          <w:rStyle w:val="FootnoteReference"/>
        </w:rPr>
        <w:footnoteRef/>
      </w:r>
      <w:r>
        <w:t xml:space="preserve"> </w:t>
      </w:r>
      <w:r>
        <w:rPr>
          <w:i/>
          <w:iCs/>
        </w:rPr>
        <w:t>Id.</w:t>
      </w:r>
      <w:r>
        <w:t xml:space="preserve"> at 4-348.  </w:t>
      </w:r>
    </w:p>
  </w:footnote>
  <w:footnote w:id="352">
    <w:p w14:paraId="75EF3BF0" w14:textId="77777777" w:rsidR="001276F4" w:rsidRDefault="001276F4" w:rsidP="001276F4">
      <w:pPr>
        <w:pStyle w:val="FootnoteText"/>
      </w:pPr>
      <w:r>
        <w:rPr>
          <w:rStyle w:val="FootnoteReference"/>
        </w:rPr>
        <w:footnoteRef/>
      </w:r>
      <w:r>
        <w:t xml:space="preserve"> </w:t>
      </w:r>
      <w:r>
        <w:rPr>
          <w:i/>
          <w:iCs/>
        </w:rPr>
        <w:t>Id.</w:t>
      </w:r>
      <w:r>
        <w:t xml:space="preserve"> at 4-354.</w:t>
      </w:r>
    </w:p>
  </w:footnote>
  <w:footnote w:id="353">
    <w:p w14:paraId="75DB6C88" w14:textId="77777777" w:rsidR="001276F4" w:rsidRDefault="001276F4" w:rsidP="001276F4">
      <w:pPr>
        <w:pStyle w:val="FootnoteText"/>
      </w:pPr>
      <w:r>
        <w:rPr>
          <w:rStyle w:val="FootnoteReference"/>
        </w:rPr>
        <w:footnoteRef/>
      </w:r>
      <w:r>
        <w:t xml:space="preserve"> </w:t>
      </w:r>
      <w:r>
        <w:rPr>
          <w:i/>
          <w:iCs/>
        </w:rPr>
        <w:t>Id.</w:t>
      </w:r>
      <w:r>
        <w:t xml:space="preserve"> at 4-354 </w:t>
      </w:r>
      <w:r w:rsidR="00D851E7">
        <w:t>to</w:t>
      </w:r>
      <w:r>
        <w:t xml:space="preserve"> 4-356.  </w:t>
      </w:r>
    </w:p>
  </w:footnote>
  <w:footnote w:id="354">
    <w:p w14:paraId="7DDF9177" w14:textId="77777777" w:rsidR="001276F4" w:rsidRDefault="001276F4" w:rsidP="001276F4">
      <w:pPr>
        <w:pStyle w:val="FootnoteText"/>
      </w:pPr>
      <w:r>
        <w:rPr>
          <w:rStyle w:val="FootnoteReference"/>
        </w:rPr>
        <w:footnoteRef/>
      </w:r>
      <w:r>
        <w:t xml:space="preserve"> </w:t>
      </w:r>
      <w:r>
        <w:rPr>
          <w:i/>
          <w:iCs/>
        </w:rPr>
        <w:t>Id.</w:t>
      </w:r>
      <w:r>
        <w:t xml:space="preserve"> at 4-551.  </w:t>
      </w:r>
    </w:p>
  </w:footnote>
  <w:footnote w:id="355">
    <w:p w14:paraId="04DC9060" w14:textId="77777777" w:rsidR="001276F4" w:rsidRDefault="001276F4" w:rsidP="001276F4">
      <w:pPr>
        <w:pStyle w:val="FootnoteText"/>
      </w:pPr>
      <w:r>
        <w:rPr>
          <w:rStyle w:val="FootnoteReference"/>
        </w:rPr>
        <w:footnoteRef/>
      </w:r>
      <w:r>
        <w:t xml:space="preserve"> </w:t>
      </w:r>
      <w:r w:rsidR="00D851E7">
        <w:t>Petitioners</w:t>
      </w:r>
      <w:r>
        <w:t xml:space="preserve"> Rehearing Request at 154.  </w:t>
      </w:r>
    </w:p>
  </w:footnote>
  <w:footnote w:id="356">
    <w:p w14:paraId="1C9B5605" w14:textId="77777777" w:rsidR="001276F4" w:rsidRDefault="001276F4" w:rsidP="001276F4">
      <w:pPr>
        <w:pStyle w:val="FootnoteText"/>
      </w:pPr>
      <w:r>
        <w:rPr>
          <w:rStyle w:val="FootnoteReference"/>
        </w:rPr>
        <w:footnoteRef/>
      </w:r>
      <w:r>
        <w:t xml:space="preserve"> </w:t>
      </w:r>
      <w:r>
        <w:rPr>
          <w:i/>
          <w:iCs/>
        </w:rPr>
        <w:t>Id.</w:t>
      </w:r>
      <w:r>
        <w:t xml:space="preserve"> at 156.  </w:t>
      </w:r>
    </w:p>
  </w:footnote>
  <w:footnote w:id="357">
    <w:p w14:paraId="0E3FB890" w14:textId="77777777" w:rsidR="00AB59A9" w:rsidRPr="00AB59A9" w:rsidRDefault="00AB59A9">
      <w:pPr>
        <w:pStyle w:val="FootnoteText"/>
      </w:pPr>
      <w:r>
        <w:rPr>
          <w:rStyle w:val="FootnoteReference"/>
        </w:rPr>
        <w:footnoteRef/>
      </w:r>
      <w:r>
        <w:t xml:space="preserve"> </w:t>
      </w:r>
      <w:r>
        <w:rPr>
          <w:i/>
          <w:iCs/>
        </w:rPr>
        <w:t>See supra</w:t>
      </w:r>
      <w:r>
        <w:t xml:space="preserve"> </w:t>
      </w:r>
      <w:r w:rsidRPr="00EF1855">
        <w:t xml:space="preserve">note </w:t>
      </w:r>
      <w:r w:rsidR="00283A89">
        <w:t>122</w:t>
      </w:r>
      <w:r>
        <w:t xml:space="preserve">.  </w:t>
      </w:r>
    </w:p>
  </w:footnote>
  <w:footnote w:id="358">
    <w:p w14:paraId="3D982F60" w14:textId="77777777" w:rsidR="00AB59A9" w:rsidRDefault="00AB59A9" w:rsidP="00AB59A9">
      <w:pPr>
        <w:pStyle w:val="FootnoteText"/>
      </w:pPr>
      <w:r>
        <w:rPr>
          <w:rStyle w:val="FootnoteReference"/>
        </w:rPr>
        <w:footnoteRef/>
      </w:r>
      <w:r>
        <w:t xml:space="preserve"> We note that just because Commission staff did not issue a data request regarding the </w:t>
      </w:r>
      <w:r w:rsidR="007D3C09">
        <w:t xml:space="preserve">most recent </w:t>
      </w:r>
      <w:r>
        <w:t xml:space="preserve">air modeling does not mean the information was not independently evaluated.  </w:t>
      </w:r>
    </w:p>
  </w:footnote>
  <w:footnote w:id="359">
    <w:p w14:paraId="125E3F28" w14:textId="77777777" w:rsidR="00AB59A9" w:rsidRPr="000F2F2A" w:rsidRDefault="00AB59A9" w:rsidP="00AB59A9">
      <w:pPr>
        <w:pStyle w:val="FootnoteText"/>
      </w:pPr>
      <w:r>
        <w:rPr>
          <w:rStyle w:val="FootnoteReference"/>
        </w:rPr>
        <w:footnoteRef/>
      </w:r>
      <w:r>
        <w:t xml:space="preserve"> </w:t>
      </w:r>
      <w:r w:rsidRPr="00C036BB">
        <w:t>18 C.F.R. §§ 385.2005(a)(2)(ii)</w:t>
      </w:r>
      <w:r>
        <w:t>,</w:t>
      </w:r>
      <w:r w:rsidRPr="00C036BB">
        <w:t xml:space="preserve"> (b)(1)</w:t>
      </w:r>
      <w:r>
        <w:t xml:space="preserve"> (202</w:t>
      </w:r>
      <w:r w:rsidR="00A41DE9">
        <w:t>4</w:t>
      </w:r>
      <w:r>
        <w:t xml:space="preserve">); </w:t>
      </w:r>
      <w:r>
        <w:rPr>
          <w:i/>
          <w:iCs/>
        </w:rPr>
        <w:t>see also</w:t>
      </w:r>
      <w:r>
        <w:t xml:space="preserve"> </w:t>
      </w:r>
      <w:r w:rsidR="00426FAC">
        <w:rPr>
          <w:i/>
          <w:iCs/>
        </w:rPr>
        <w:t>i</w:t>
      </w:r>
      <w:r w:rsidR="00356730">
        <w:rPr>
          <w:i/>
          <w:iCs/>
        </w:rPr>
        <w:t>d</w:t>
      </w:r>
      <w:r w:rsidR="00356730" w:rsidRPr="00C32C06">
        <w:t>.</w:t>
      </w:r>
      <w:r w:rsidRPr="00AE3E87">
        <w:t xml:space="preserve"> § 157.6(a)(4)(i) (202</w:t>
      </w:r>
      <w:r w:rsidR="00A41DE9">
        <w:t>4</w:t>
      </w:r>
      <w:r w:rsidRPr="00AE3E87">
        <w:t>) (“The signature on a filing constitutes a certification that: The signer has read the filing signed and knows the contents of the paper copies and electronic filing; the paper copies contain the same information as contained in the electronic filing; the contents as stated in the copies and in the electronic filing are true to the best knowledge and belief of the signer; and the signer possesses full power and authority to sign the filing.”)</w:t>
      </w:r>
      <w:r>
        <w:t>.</w:t>
      </w:r>
    </w:p>
  </w:footnote>
  <w:footnote w:id="360">
    <w:p w14:paraId="44A9ADBC" w14:textId="77777777" w:rsidR="00AB59A9" w:rsidRDefault="00AB59A9" w:rsidP="00AB59A9">
      <w:pPr>
        <w:pStyle w:val="FootnoteText"/>
      </w:pPr>
      <w:r>
        <w:rPr>
          <w:rStyle w:val="FootnoteReference"/>
        </w:rPr>
        <w:footnoteRef/>
      </w:r>
      <w:r>
        <w:t xml:space="preserve"> </w:t>
      </w:r>
      <w:r w:rsidRPr="000C0523">
        <w:rPr>
          <w:i/>
          <w:iCs/>
        </w:rPr>
        <w:t>Trunkline Gas Co.</w:t>
      </w:r>
      <w:r w:rsidRPr="000C0523">
        <w:t>,</w:t>
      </w:r>
      <w:r w:rsidRPr="00505118">
        <w:t xml:space="preserve"> </w:t>
      </w:r>
      <w:r w:rsidRPr="00F81A38">
        <w:t xml:space="preserve">179 FERC ¶ 61,086, </w:t>
      </w:r>
      <w:r>
        <w:t>at P 11</w:t>
      </w:r>
      <w:r w:rsidRPr="00F81A38">
        <w:t xml:space="preserve"> (2022)</w:t>
      </w:r>
      <w:r w:rsidR="008262F9">
        <w:t xml:space="preserve">; </w:t>
      </w:r>
      <w:r w:rsidR="008262F9" w:rsidRPr="002A77D0">
        <w:rPr>
          <w:i/>
          <w:iCs/>
        </w:rPr>
        <w:t>Mich. Pub. Power Agency v. FERC</w:t>
      </w:r>
      <w:r w:rsidR="008262F9" w:rsidRPr="002A77D0">
        <w:t xml:space="preserve">, 963 F.2d 1574, 1580 (D.C. Cir. 1992) (“We see no grounds to require [the Commission] to allocate its limited resources to full-fledged investigation of </w:t>
      </w:r>
      <w:r w:rsidR="00970433">
        <w:t xml:space="preserve">         </w:t>
      </w:r>
      <w:r w:rsidR="008262F9" w:rsidRPr="002A77D0">
        <w:t>the . . . claims, which were primarily hypotheticals with no evident basis in fact or experience.  Administrative agencies are afforded wide deference in predicting the likelihood of future events.”)</w:t>
      </w:r>
      <w:r>
        <w:t>.</w:t>
      </w:r>
    </w:p>
  </w:footnote>
  <w:footnote w:id="361">
    <w:p w14:paraId="3C7AD4B9" w14:textId="77777777" w:rsidR="00AB59A9" w:rsidRDefault="00AB59A9" w:rsidP="00AB59A9">
      <w:pPr>
        <w:pStyle w:val="FootnoteText"/>
      </w:pPr>
      <w:r>
        <w:rPr>
          <w:rStyle w:val="FootnoteReference"/>
        </w:rPr>
        <w:footnoteRef/>
      </w:r>
      <w:r>
        <w:t xml:space="preserve"> </w:t>
      </w:r>
      <w:r w:rsidR="00175A63" w:rsidRPr="00B423C4">
        <w:rPr>
          <w:i/>
          <w:iCs/>
        </w:rPr>
        <w:t>Am. Whitewater v. FERC</w:t>
      </w:r>
      <w:r w:rsidR="00175A63" w:rsidRPr="00B423C4">
        <w:t>, 125 F.4th 1139, 1153 (D.C. Cir. 2025)</w:t>
      </w:r>
      <w:r w:rsidR="00175A63">
        <w:t xml:space="preserve"> (quoting </w:t>
      </w:r>
      <w:r w:rsidR="00175A63" w:rsidRPr="00C51AD0">
        <w:rPr>
          <w:i/>
          <w:iCs/>
        </w:rPr>
        <w:t>Honeywell Int</w:t>
      </w:r>
      <w:r w:rsidR="00175A63">
        <w:rPr>
          <w:i/>
          <w:iCs/>
        </w:rPr>
        <w:t>’</w:t>
      </w:r>
      <w:r w:rsidR="00175A63" w:rsidRPr="00C51AD0">
        <w:rPr>
          <w:i/>
          <w:iCs/>
        </w:rPr>
        <w:t>l, Inc. v. EPA</w:t>
      </w:r>
      <w:r w:rsidR="00175A63" w:rsidRPr="00C51AD0">
        <w:t>, 372 F.3d 441, 447 (D.C. Cir. 2004)</w:t>
      </w:r>
      <w:r w:rsidR="00175A63">
        <w:t>) (stating that</w:t>
      </w:r>
      <w:r w:rsidR="003B1A4E">
        <w:t xml:space="preserve"> a</w:t>
      </w:r>
      <w:r w:rsidR="00175A63" w:rsidRPr="00175A63">
        <w:t>bsent evidence to the contrary, the Commission is entitled to rely on representations by parties who are uniquely in a position to know the relevant information</w:t>
      </w:r>
      <w:r w:rsidR="00175A63">
        <w:t xml:space="preserve">); </w:t>
      </w:r>
      <w:r w:rsidR="0080161A" w:rsidRPr="00E672FD">
        <w:rPr>
          <w:i/>
        </w:rPr>
        <w:t>Mich. Consol. Gas Co. v. FERC</w:t>
      </w:r>
      <w:r w:rsidR="0080161A" w:rsidRPr="00E672FD">
        <w:t xml:space="preserve">, 883 F.2d 117, 124 (D.C. Cir. 1989) (“That evidence comes from a single source does not alone make it either invalid or insubstantial.”).  Courts generally defer to Commission expertise in assessing the reliability of record evidence.  </w:t>
      </w:r>
      <w:r w:rsidR="0080161A" w:rsidRPr="00E672FD">
        <w:rPr>
          <w:i/>
          <w:iCs/>
        </w:rPr>
        <w:t>Ind. Mun. Power Agency v. FERC</w:t>
      </w:r>
      <w:r w:rsidR="0080161A" w:rsidRPr="00E672FD">
        <w:t>, 56 F.3d 247, 255 (D.C. Cir. 1995);</w:t>
      </w:r>
      <w:r w:rsidR="0080161A">
        <w:t xml:space="preserve"> </w:t>
      </w:r>
      <w:r w:rsidRPr="00336965">
        <w:rPr>
          <w:i/>
          <w:iCs/>
        </w:rPr>
        <w:t>Transcon. Gas Pipe Line Co.</w:t>
      </w:r>
      <w:r w:rsidRPr="00336965">
        <w:t xml:space="preserve">, </w:t>
      </w:r>
      <w:r w:rsidR="00970433">
        <w:t xml:space="preserve">      </w:t>
      </w:r>
      <w:r w:rsidRPr="00336965">
        <w:t xml:space="preserve">182 FERC ¶ 61,148, at P 61 (2023) (quoting </w:t>
      </w:r>
      <w:r w:rsidRPr="00336965">
        <w:rPr>
          <w:i/>
          <w:iCs/>
        </w:rPr>
        <w:t>Marsh</w:t>
      </w:r>
      <w:r w:rsidRPr="00336965">
        <w:t xml:space="preserve">, 490 U.S. </w:t>
      </w:r>
      <w:r>
        <w:t>at</w:t>
      </w:r>
      <w:r w:rsidRPr="00336965">
        <w:t xml:space="preserve"> 377) (An agency’s decision concerning the evidence before it “involves primarily issues of fact” and “because analysis of the relevant documents ‘requires a high level of technical expertise,’ [courts] defer to ‘the informed discretion of the responsible federal agency.”’)</w:t>
      </w:r>
      <w:r>
        <w:t xml:space="preserve">; </w:t>
      </w:r>
      <w:r>
        <w:rPr>
          <w:i/>
          <w:iCs/>
        </w:rPr>
        <w:t>see also</w:t>
      </w:r>
      <w:r>
        <w:t xml:space="preserve"> </w:t>
      </w:r>
      <w:r w:rsidRPr="000C0523">
        <w:rPr>
          <w:i/>
          <w:iCs/>
        </w:rPr>
        <w:t>Freeport LNG Dev., L.P.</w:t>
      </w:r>
      <w:r w:rsidRPr="000729DF">
        <w:t>, 182 FERC ¶ 61,112</w:t>
      </w:r>
      <w:r>
        <w:t>, at P 7 &amp; n.14</w:t>
      </w:r>
      <w:r w:rsidRPr="000729DF">
        <w:t xml:space="preserve"> (2023)</w:t>
      </w:r>
      <w:r>
        <w:t xml:space="preserve"> (stating that the Commission may rely on statement from applicants in the absence of contradicting evidence).  </w:t>
      </w:r>
    </w:p>
  </w:footnote>
  <w:footnote w:id="362">
    <w:p w14:paraId="4F3F855D" w14:textId="77777777" w:rsidR="000E0788" w:rsidRDefault="000E0788">
      <w:pPr>
        <w:pStyle w:val="FootnoteText"/>
      </w:pPr>
      <w:r>
        <w:rPr>
          <w:rStyle w:val="FootnoteReference"/>
        </w:rPr>
        <w:footnoteRef/>
      </w:r>
      <w:r>
        <w:t xml:space="preserve"> We note that no environmental recommendations were proposed in the final supplemental EIS.</w:t>
      </w:r>
    </w:p>
  </w:footnote>
  <w:footnote w:id="363">
    <w:p w14:paraId="52EC178D" w14:textId="77777777" w:rsidR="00C1646F" w:rsidRDefault="00C1646F">
      <w:pPr>
        <w:pStyle w:val="FootnoteText"/>
      </w:pPr>
      <w:r>
        <w:rPr>
          <w:rStyle w:val="FootnoteReference"/>
        </w:rPr>
        <w:footnoteRef/>
      </w:r>
      <w:r>
        <w:t xml:space="preserve"> Authorization Order, 187 FERC ¶ 61,199 at P</w:t>
      </w:r>
      <w:r w:rsidR="003A7298">
        <w:t xml:space="preserve"> 198.  </w:t>
      </w:r>
    </w:p>
  </w:footnote>
  <w:footnote w:id="364">
    <w:p w14:paraId="46506319" w14:textId="77777777" w:rsidR="00595B6B" w:rsidRDefault="00595B6B" w:rsidP="00595B6B">
      <w:pPr>
        <w:pStyle w:val="FootnoteText"/>
      </w:pPr>
      <w:r>
        <w:rPr>
          <w:rStyle w:val="FootnoteReference"/>
        </w:rPr>
        <w:footnoteRef/>
      </w:r>
      <w:r>
        <w:t xml:space="preserve"> </w:t>
      </w:r>
      <w:r w:rsidRPr="001B1870">
        <w:t xml:space="preserve">Although the analysis in the </w:t>
      </w:r>
      <w:r w:rsidR="005528A2">
        <w:t xml:space="preserve">final </w:t>
      </w:r>
      <w:r>
        <w:t>EIS</w:t>
      </w:r>
      <w:r w:rsidRPr="001B1870">
        <w:t xml:space="preserve"> </w:t>
      </w:r>
      <w:r w:rsidR="005528A2">
        <w:t>and</w:t>
      </w:r>
      <w:r w:rsidRPr="001B1870">
        <w:t xml:space="preserve"> </w:t>
      </w:r>
      <w:r w:rsidR="000E0788">
        <w:t xml:space="preserve">final supplemental EIS </w:t>
      </w:r>
      <w:r w:rsidRPr="001B1870">
        <w:t>provides substantial evidence for our conclusions in this order, it is the order itself that serves as our record of decision.  The order supersedes any inconsistent discussion</w:t>
      </w:r>
      <w:r w:rsidR="007704E6">
        <w:t>, analysis, or finding</w:t>
      </w:r>
      <w:r w:rsidRPr="001B1870">
        <w:t xml:space="preserve"> in the </w:t>
      </w:r>
      <w:r w:rsidR="000E0788">
        <w:t xml:space="preserve">final </w:t>
      </w:r>
      <w:r>
        <w:t>EIS</w:t>
      </w:r>
      <w:r w:rsidR="000E0788">
        <w:t xml:space="preserve"> and final supplemental EIS</w:t>
      </w:r>
      <w:r w:rsidRPr="001B1870">
        <w:t>.</w:t>
      </w:r>
    </w:p>
  </w:footnote>
  <w:footnote w:id="365">
    <w:p w14:paraId="14F69EFC" w14:textId="77777777" w:rsidR="003A7298" w:rsidRDefault="003A7298">
      <w:pPr>
        <w:pStyle w:val="FootnoteText"/>
      </w:pPr>
      <w:r>
        <w:rPr>
          <w:rStyle w:val="FootnoteReference"/>
        </w:rPr>
        <w:footnoteRef/>
      </w:r>
      <w:r>
        <w:t xml:space="preserve"> Authorization Order, 187 FERC ¶ 61,199 at P 199.  </w:t>
      </w:r>
    </w:p>
  </w:footnote>
  <w:footnote w:id="366">
    <w:p w14:paraId="543DE869" w14:textId="77777777" w:rsidR="003A7298" w:rsidRDefault="003A7298">
      <w:pPr>
        <w:pStyle w:val="FootnoteText"/>
      </w:pPr>
      <w:r>
        <w:rPr>
          <w:rStyle w:val="FootnoteReference"/>
        </w:rPr>
        <w:footnoteRef/>
      </w:r>
      <w:r>
        <w:t xml:space="preserve"> </w:t>
      </w:r>
      <w:r w:rsidR="00000BC7">
        <w:rPr>
          <w:i/>
          <w:iCs/>
        </w:rPr>
        <w:t>Id.</w:t>
      </w:r>
      <w:r w:rsidR="00000BC7">
        <w:t xml:space="preserve"> </w:t>
      </w:r>
      <w:r>
        <w:t>P 200.</w:t>
      </w:r>
    </w:p>
  </w:footnote>
  <w:footnote w:id="367">
    <w:p w14:paraId="6609ED31" w14:textId="77777777" w:rsidR="00D14156" w:rsidRDefault="00D14156">
      <w:pPr>
        <w:pStyle w:val="FootnoteText"/>
      </w:pPr>
      <w:r>
        <w:rPr>
          <w:rStyle w:val="FootnoteReference"/>
        </w:rPr>
        <w:footnoteRef/>
      </w:r>
      <w:r>
        <w:t xml:space="preserve"> Venture Global Rehearing Request at 48-49 (citing Rehearing Order, </w:t>
      </w:r>
      <w:r w:rsidR="00970433">
        <w:t xml:space="preserve">           </w:t>
      </w:r>
      <w:r w:rsidRPr="00004D2F">
        <w:t>189 FERC ¶ 61,148</w:t>
      </w:r>
      <w:r>
        <w:t xml:space="preserve"> at P 186).  </w:t>
      </w:r>
    </w:p>
  </w:footnote>
  <w:footnote w:id="368">
    <w:p w14:paraId="25DD63F8" w14:textId="77777777" w:rsidR="007C262A" w:rsidRDefault="007C262A">
      <w:pPr>
        <w:pStyle w:val="FootnoteText"/>
      </w:pPr>
      <w:r>
        <w:rPr>
          <w:rStyle w:val="FootnoteReference"/>
        </w:rPr>
        <w:footnoteRef/>
      </w:r>
      <w:r>
        <w:t xml:space="preserve"> </w:t>
      </w:r>
      <w:r w:rsidR="00C91118">
        <w:rPr>
          <w:i/>
          <w:iCs/>
        </w:rPr>
        <w:t>See i</w:t>
      </w:r>
      <w:r>
        <w:rPr>
          <w:i/>
          <w:iCs/>
        </w:rPr>
        <w:t>d.</w:t>
      </w:r>
      <w:r>
        <w:t xml:space="preserve"> at 49-50 (citing Order Denying Stay, </w:t>
      </w:r>
      <w:r w:rsidRPr="00DF6282">
        <w:t>189 FERC ¶ 61,005</w:t>
      </w:r>
      <w:r>
        <w:t xml:space="preserve"> at P 23) (asserting that the Commissio</w:t>
      </w:r>
      <w:r w:rsidR="00695A33">
        <w:t xml:space="preserve">n’s </w:t>
      </w:r>
      <w:r w:rsidR="00FD6ED6">
        <w:t>action is inconsistent with its stat</w:t>
      </w:r>
      <w:r w:rsidR="004115FF">
        <w:t xml:space="preserve">ement in the Order Denying Stay that halting construction would harm Venture Global and </w:t>
      </w:r>
      <w:r w:rsidR="00A8240F">
        <w:t>i</w:t>
      </w:r>
      <w:r w:rsidR="0031594E">
        <w:t xml:space="preserve">ts customers); </w:t>
      </w:r>
      <w:r w:rsidR="00C91118">
        <w:rPr>
          <w:i/>
          <w:iCs/>
        </w:rPr>
        <w:t>see also i</w:t>
      </w:r>
      <w:r w:rsidR="0031594E">
        <w:rPr>
          <w:i/>
          <w:iCs/>
        </w:rPr>
        <w:t>d.</w:t>
      </w:r>
      <w:r w:rsidR="0031594E">
        <w:t xml:space="preserve"> at 50-51 (</w:t>
      </w:r>
      <w:r w:rsidR="002C4160">
        <w:t xml:space="preserve">asserting that the Commission’s action is inconsistent with its statement in the Rehearing Order that the </w:t>
      </w:r>
      <w:r w:rsidR="002C4160" w:rsidRPr="002C4160">
        <w:t>Authorization Order remains in full force and effect</w:t>
      </w:r>
      <w:r w:rsidR="002C4160">
        <w:t xml:space="preserve">).  </w:t>
      </w:r>
    </w:p>
  </w:footnote>
  <w:footnote w:id="369">
    <w:p w14:paraId="3950DB8A" w14:textId="77777777" w:rsidR="0007716C" w:rsidRPr="00CA2586" w:rsidRDefault="0007716C" w:rsidP="0007716C">
      <w:pPr>
        <w:pStyle w:val="FootnoteText"/>
      </w:pPr>
      <w:r>
        <w:rPr>
          <w:rStyle w:val="FootnoteReference"/>
        </w:rPr>
        <w:footnoteRef/>
      </w:r>
      <w:r>
        <w:t xml:space="preserve"> </w:t>
      </w:r>
      <w:r w:rsidR="00426FAC">
        <w:rPr>
          <w:i/>
          <w:iCs/>
        </w:rPr>
        <w:t>Id.</w:t>
      </w:r>
      <w:r w:rsidR="00426FAC">
        <w:t xml:space="preserve"> </w:t>
      </w:r>
      <w:r>
        <w:t>at 51</w:t>
      </w:r>
      <w:r w:rsidR="008A2085" w:rsidRPr="008A2085">
        <w:t xml:space="preserve"> </w:t>
      </w:r>
      <w:r w:rsidR="00B31D2A">
        <w:t>(</w:t>
      </w:r>
      <w:r w:rsidR="008A2085" w:rsidRPr="008A2085">
        <w:t xml:space="preserve">asserting </w:t>
      </w:r>
      <w:r w:rsidR="00B31D2A">
        <w:t xml:space="preserve">that the Commission failed to </w:t>
      </w:r>
      <w:r w:rsidR="008B4E94">
        <w:t xml:space="preserve">provide </w:t>
      </w:r>
      <w:r w:rsidR="008A2085" w:rsidRPr="008A2085">
        <w:t xml:space="preserve">a NEPA or other legal </w:t>
      </w:r>
      <w:r w:rsidR="008B4E94">
        <w:t xml:space="preserve">justification).  </w:t>
      </w:r>
    </w:p>
  </w:footnote>
  <w:footnote w:id="370">
    <w:p w14:paraId="6E030AAE" w14:textId="77777777" w:rsidR="0007716C" w:rsidRDefault="0007716C" w:rsidP="0007716C">
      <w:pPr>
        <w:pStyle w:val="FootnoteText"/>
      </w:pPr>
      <w:r>
        <w:rPr>
          <w:rStyle w:val="FootnoteReference"/>
        </w:rPr>
        <w:footnoteRef/>
      </w:r>
      <w:r>
        <w:t xml:space="preserve"> </w:t>
      </w:r>
      <w:r w:rsidR="00411DF2">
        <w:rPr>
          <w:i/>
          <w:iCs/>
        </w:rPr>
        <w:t>Id.</w:t>
      </w:r>
      <w:r w:rsidR="00411DF2">
        <w:t xml:space="preserve"> </w:t>
      </w:r>
      <w:r>
        <w:t xml:space="preserve">at 51-52 (referring to Implementation Plans pending before the Commission).  </w:t>
      </w:r>
    </w:p>
  </w:footnote>
  <w:footnote w:id="371">
    <w:p w14:paraId="05BDB558" w14:textId="77777777" w:rsidR="0007716C" w:rsidRDefault="0007716C" w:rsidP="0007716C">
      <w:pPr>
        <w:pStyle w:val="FootnoteText"/>
      </w:pPr>
      <w:r>
        <w:rPr>
          <w:rStyle w:val="FootnoteReference"/>
        </w:rPr>
        <w:footnoteRef/>
      </w:r>
      <w:r>
        <w:t xml:space="preserve"> </w:t>
      </w:r>
      <w:r w:rsidR="00B45E2E">
        <w:rPr>
          <w:i/>
          <w:iCs/>
        </w:rPr>
        <w:t>Id.</w:t>
      </w:r>
      <w:r w:rsidR="00B45E2E">
        <w:t xml:space="preserve"> </w:t>
      </w:r>
      <w:r>
        <w:t xml:space="preserve">at 52.  </w:t>
      </w:r>
    </w:p>
  </w:footnote>
  <w:footnote w:id="372">
    <w:p w14:paraId="59E29575" w14:textId="77777777" w:rsidR="0007716C" w:rsidRDefault="0007716C" w:rsidP="0007716C">
      <w:pPr>
        <w:pStyle w:val="FootnoteText"/>
      </w:pPr>
      <w:r>
        <w:rPr>
          <w:rStyle w:val="FootnoteReference"/>
        </w:rPr>
        <w:footnoteRef/>
      </w:r>
      <w:r>
        <w:t xml:space="preserve"> </w:t>
      </w:r>
      <w:r w:rsidR="00B45E2E">
        <w:rPr>
          <w:i/>
          <w:iCs/>
        </w:rPr>
        <w:t>Id.</w:t>
      </w:r>
      <w:r>
        <w:t xml:space="preserve"> </w:t>
      </w:r>
      <w:r w:rsidR="008225A4">
        <w:t>at 52-53</w:t>
      </w:r>
      <w:r>
        <w:t xml:space="preserve"> (citing final EIS at 4-263, 4-274 </w:t>
      </w:r>
      <w:r w:rsidR="00000BC7">
        <w:t>to</w:t>
      </w:r>
      <w:r>
        <w:t xml:space="preserve"> 4-276) (explaining that </w:t>
      </w:r>
      <w:r w:rsidRPr="00660DAD">
        <w:t>the total estimated construction cost would exceed $10 billion, that construction will support tens of thousands of jobs across 33 states (including more than 7,400 on-site construction workers during peak construction), and that the Project</w:t>
      </w:r>
      <w:r>
        <w:t>s</w:t>
      </w:r>
      <w:r w:rsidRPr="00660DAD">
        <w:t xml:space="preserve"> will result in the payment of more than $4 billion in taxes to Cameron Parish during its operations</w:t>
      </w:r>
      <w:r>
        <w:t xml:space="preserve">).  </w:t>
      </w:r>
    </w:p>
  </w:footnote>
  <w:footnote w:id="373">
    <w:p w14:paraId="648C94F3" w14:textId="77777777" w:rsidR="00F51D23" w:rsidRDefault="00F51D23" w:rsidP="00970433">
      <w:pPr>
        <w:pStyle w:val="FootnoteText"/>
        <w:widowControl/>
      </w:pPr>
      <w:r>
        <w:rPr>
          <w:rStyle w:val="FootnoteReference"/>
        </w:rPr>
        <w:footnoteRef/>
      </w:r>
      <w:r>
        <w:t xml:space="preserve"> </w:t>
      </w:r>
      <w:r w:rsidR="00B2167A">
        <w:rPr>
          <w:i/>
          <w:iCs/>
        </w:rPr>
        <w:t>Id.</w:t>
      </w:r>
      <w:r w:rsidR="00B2167A">
        <w:t xml:space="preserve"> </w:t>
      </w:r>
      <w:r>
        <w:t xml:space="preserve">at 54 (citing </w:t>
      </w:r>
      <w:r w:rsidRPr="005F46EB">
        <w:rPr>
          <w:i/>
          <w:iCs/>
        </w:rPr>
        <w:t>Limiting Authorizations to Proceed with Constr. Activities Pending Rehearing</w:t>
      </w:r>
      <w:r w:rsidRPr="005F46EB">
        <w:t>, Order No. 871-B, 175 FERC ¶ 61,098 (2021)</w:t>
      </w:r>
      <w:r w:rsidRPr="00B65FEF">
        <w:t>)</w:t>
      </w:r>
      <w:r>
        <w:t xml:space="preserve">.  </w:t>
      </w:r>
    </w:p>
  </w:footnote>
  <w:footnote w:id="374">
    <w:p w14:paraId="003B1A41" w14:textId="77777777" w:rsidR="00F51D23" w:rsidRDefault="00F51D23" w:rsidP="00F51D23">
      <w:pPr>
        <w:pStyle w:val="FootnoteText"/>
      </w:pPr>
      <w:r>
        <w:rPr>
          <w:rStyle w:val="FootnoteReference"/>
        </w:rPr>
        <w:footnoteRef/>
      </w:r>
      <w:r>
        <w:t xml:space="preserve"> </w:t>
      </w:r>
      <w:r>
        <w:rPr>
          <w:i/>
          <w:iCs/>
        </w:rPr>
        <w:t>Id.</w:t>
      </w:r>
      <w:r>
        <w:t xml:space="preserve"> at 55 (citing </w:t>
      </w:r>
      <w:r w:rsidRPr="005F46EB">
        <w:t>Order No. 871-B, 175 FERC ¶</w:t>
      </w:r>
      <w:r>
        <w:t> </w:t>
      </w:r>
      <w:r w:rsidRPr="005F46EB">
        <w:t>61,098 at P</w:t>
      </w:r>
      <w:r w:rsidR="004C0F32">
        <w:t xml:space="preserve"> </w:t>
      </w:r>
      <w:r w:rsidRPr="005F46EB">
        <w:t>26</w:t>
      </w:r>
      <w:r>
        <w:t xml:space="preserve">).  </w:t>
      </w:r>
    </w:p>
  </w:footnote>
  <w:footnote w:id="375">
    <w:p w14:paraId="766AD945" w14:textId="77777777" w:rsidR="00F51D23" w:rsidRDefault="00F51D23" w:rsidP="00F51D23">
      <w:pPr>
        <w:pStyle w:val="FootnoteText"/>
      </w:pPr>
      <w:r>
        <w:rPr>
          <w:rStyle w:val="FootnoteReference"/>
        </w:rPr>
        <w:footnoteRef/>
      </w:r>
      <w:r>
        <w:t xml:space="preserve"> </w:t>
      </w:r>
      <w:r>
        <w:rPr>
          <w:i/>
          <w:iCs/>
        </w:rPr>
        <w:t>Id.</w:t>
      </w:r>
      <w:r>
        <w:t xml:space="preserve"> at 55-56 (citing </w:t>
      </w:r>
      <w:r w:rsidRPr="005F46EB">
        <w:t>Order No. 871-B, 175 FERC ¶</w:t>
      </w:r>
      <w:r>
        <w:t> </w:t>
      </w:r>
      <w:r w:rsidRPr="005F46EB">
        <w:t>61,098 at P 49</w:t>
      </w:r>
      <w:r>
        <w:t>).</w:t>
      </w:r>
    </w:p>
  </w:footnote>
  <w:footnote w:id="376">
    <w:p w14:paraId="7C1E2BF8" w14:textId="77777777" w:rsidR="005F79D2" w:rsidRDefault="005F79D2" w:rsidP="005F79D2">
      <w:pPr>
        <w:pStyle w:val="FootnoteText"/>
      </w:pPr>
      <w:r>
        <w:rPr>
          <w:rStyle w:val="FootnoteReference"/>
        </w:rPr>
        <w:footnoteRef/>
      </w:r>
      <w:r>
        <w:t xml:space="preserve"> </w:t>
      </w:r>
      <w:r w:rsidR="00B2167A">
        <w:rPr>
          <w:i/>
          <w:iCs/>
        </w:rPr>
        <w:t>Id.</w:t>
      </w:r>
      <w:r>
        <w:t xml:space="preserve"> at 56.  </w:t>
      </w:r>
    </w:p>
  </w:footnote>
  <w:footnote w:id="377">
    <w:p w14:paraId="2C89B3B8" w14:textId="77777777" w:rsidR="005F79D2" w:rsidRPr="003B54FB" w:rsidRDefault="005F79D2" w:rsidP="005F79D2">
      <w:pPr>
        <w:pStyle w:val="FootnoteText"/>
      </w:pPr>
      <w:r>
        <w:rPr>
          <w:rStyle w:val="FootnoteReference"/>
        </w:rPr>
        <w:footnoteRef/>
      </w:r>
      <w:r>
        <w:t xml:space="preserve"> </w:t>
      </w:r>
      <w:r>
        <w:rPr>
          <w:i/>
          <w:iCs/>
        </w:rPr>
        <w:t>Id.</w:t>
      </w:r>
      <w:r>
        <w:t xml:space="preserve"> (citing </w:t>
      </w:r>
      <w:r w:rsidR="00AA6ECB" w:rsidRPr="009C7517">
        <w:rPr>
          <w:i/>
          <w:iCs/>
        </w:rPr>
        <w:t>Stop H-3 Ass’n v. Dole</w:t>
      </w:r>
      <w:r w:rsidR="00AA6ECB" w:rsidRPr="009C7517">
        <w:t>, 870 F.2d 1419, 1426-27 (9th Cir. 1989)</w:t>
      </w:r>
      <w:r w:rsidR="00AA6ECB">
        <w:t xml:space="preserve"> (</w:t>
      </w:r>
      <w:r w:rsidR="00AA6ECB" w:rsidRPr="005F46EB">
        <w:rPr>
          <w:i/>
          <w:iCs/>
        </w:rPr>
        <w:t>Stop H-3</w:t>
      </w:r>
      <w:r w:rsidR="00AA6ECB">
        <w:t>)) (</w:t>
      </w:r>
      <w:r>
        <w:t xml:space="preserve">stating that </w:t>
      </w:r>
      <w:r w:rsidRPr="00B01A2C">
        <w:t>“</w:t>
      </w:r>
      <w:r>
        <w:t>t</w:t>
      </w:r>
      <w:r w:rsidRPr="00B01A2C">
        <w:t>here is no authority for the proposition that the decision to prepare a Supplemental EIS after a Final EIS has been approved requires that work outside the area affected by the Supplemental EIS be halted. . . . NEPA permits work on those parts of a project unrelated to a Supplemental EIS to go forward when the project is already the subject of an adequate Final EIS.”).</w:t>
      </w:r>
      <w:r>
        <w:t xml:space="preserve">  As discussed </w:t>
      </w:r>
      <w:r w:rsidR="00AA6ECB">
        <w:t>below</w:t>
      </w:r>
      <w:r>
        <w:t xml:space="preserve">, we find Venture Global’s reliance on </w:t>
      </w:r>
      <w:r>
        <w:rPr>
          <w:i/>
          <w:iCs/>
        </w:rPr>
        <w:t>Stop H-3</w:t>
      </w:r>
      <w:r>
        <w:t xml:space="preserve"> misplaced.  </w:t>
      </w:r>
      <w:r>
        <w:rPr>
          <w:i/>
          <w:iCs/>
        </w:rPr>
        <w:t xml:space="preserve">See </w:t>
      </w:r>
      <w:r w:rsidR="00AA6ECB">
        <w:rPr>
          <w:i/>
          <w:iCs/>
        </w:rPr>
        <w:t>infra</w:t>
      </w:r>
      <w:r>
        <w:t xml:space="preserve"> </w:t>
      </w:r>
      <w:r w:rsidRPr="00F74AB3">
        <w:t xml:space="preserve">note </w:t>
      </w:r>
      <w:r w:rsidR="00FC7FD1">
        <w:t>390</w:t>
      </w:r>
      <w:r w:rsidRPr="00F74AB3">
        <w:t>.</w:t>
      </w:r>
      <w:r>
        <w:t xml:space="preserve">  </w:t>
      </w:r>
    </w:p>
  </w:footnote>
  <w:footnote w:id="378">
    <w:p w14:paraId="39C05F9A" w14:textId="77777777" w:rsidR="005F79D2" w:rsidRDefault="005F79D2" w:rsidP="005F79D2">
      <w:pPr>
        <w:pStyle w:val="FootnoteText"/>
      </w:pPr>
      <w:r>
        <w:rPr>
          <w:rStyle w:val="FootnoteReference"/>
        </w:rPr>
        <w:footnoteRef/>
      </w:r>
      <w:r>
        <w:t xml:space="preserve"> Venture Global Rehearing Request at 57.  </w:t>
      </w:r>
    </w:p>
  </w:footnote>
  <w:footnote w:id="379">
    <w:p w14:paraId="242074E8" w14:textId="77777777" w:rsidR="005F79D2" w:rsidRDefault="005F79D2" w:rsidP="005F79D2">
      <w:pPr>
        <w:pStyle w:val="FootnoteText"/>
      </w:pPr>
      <w:r>
        <w:rPr>
          <w:rStyle w:val="FootnoteReference"/>
        </w:rPr>
        <w:footnoteRef/>
      </w:r>
      <w:r>
        <w:t xml:space="preserve"> </w:t>
      </w:r>
      <w:r>
        <w:rPr>
          <w:i/>
          <w:iCs/>
        </w:rPr>
        <w:t>Id.</w:t>
      </w:r>
      <w:r>
        <w:t xml:space="preserve">  </w:t>
      </w:r>
    </w:p>
  </w:footnote>
  <w:footnote w:id="380">
    <w:p w14:paraId="0C31B995" w14:textId="77777777" w:rsidR="005F79D2" w:rsidRDefault="005F79D2" w:rsidP="005F79D2">
      <w:pPr>
        <w:pStyle w:val="FootnoteText"/>
      </w:pPr>
      <w:r>
        <w:rPr>
          <w:rStyle w:val="FootnoteReference"/>
        </w:rPr>
        <w:footnoteRef/>
      </w:r>
      <w:r>
        <w:t xml:space="preserve"> </w:t>
      </w:r>
      <w:r>
        <w:rPr>
          <w:i/>
          <w:iCs/>
        </w:rPr>
        <w:t>Id.</w:t>
      </w:r>
      <w:r>
        <w:t xml:space="preserve">  </w:t>
      </w:r>
    </w:p>
  </w:footnote>
  <w:footnote w:id="381">
    <w:p w14:paraId="6AA93FAD" w14:textId="77777777" w:rsidR="00246FBA" w:rsidRDefault="00246FBA" w:rsidP="00970433">
      <w:pPr>
        <w:pStyle w:val="FootnoteText"/>
        <w:widowControl/>
      </w:pPr>
      <w:r>
        <w:rPr>
          <w:rStyle w:val="FootnoteReference"/>
        </w:rPr>
        <w:footnoteRef/>
      </w:r>
      <w:r>
        <w:t xml:space="preserve"> </w:t>
      </w:r>
      <w:r w:rsidR="00104281">
        <w:rPr>
          <w:i/>
          <w:iCs/>
        </w:rPr>
        <w:t>Id.</w:t>
      </w:r>
      <w:r w:rsidR="00104281">
        <w:rPr>
          <w:i/>
        </w:rPr>
        <w:t xml:space="preserve"> </w:t>
      </w:r>
      <w:r>
        <w:t xml:space="preserve">at 53; </w:t>
      </w:r>
      <w:r>
        <w:rPr>
          <w:i/>
          <w:iCs/>
        </w:rPr>
        <w:t>see also</w:t>
      </w:r>
      <w:r>
        <w:t xml:space="preserve"> </w:t>
      </w:r>
      <w:r>
        <w:rPr>
          <w:i/>
          <w:iCs/>
        </w:rPr>
        <w:t>id.</w:t>
      </w:r>
      <w:r>
        <w:t xml:space="preserve"> at 51 (citing pleadings in </w:t>
      </w:r>
      <w:r>
        <w:rPr>
          <w:i/>
          <w:iCs/>
        </w:rPr>
        <w:t>City of Port Isabel</w:t>
      </w:r>
      <w:r>
        <w:t xml:space="preserve"> wherein the Commission made arguments against vacatur due to NEPA violations).</w:t>
      </w:r>
    </w:p>
  </w:footnote>
  <w:footnote w:id="382">
    <w:p w14:paraId="79FCB2AD" w14:textId="77777777" w:rsidR="00246FBA" w:rsidRDefault="00246FBA" w:rsidP="00246FBA">
      <w:pPr>
        <w:pStyle w:val="FootnoteText"/>
      </w:pPr>
      <w:r>
        <w:rPr>
          <w:rStyle w:val="FootnoteReference"/>
        </w:rPr>
        <w:footnoteRef/>
      </w:r>
      <w:r>
        <w:t xml:space="preserve"> </w:t>
      </w:r>
      <w:r>
        <w:rPr>
          <w:i/>
          <w:iCs/>
        </w:rPr>
        <w:t>Id.</w:t>
      </w:r>
      <w:r>
        <w:t xml:space="preserve"> at 53 (citing Rio Grande LNG, </w:t>
      </w:r>
      <w:r w:rsidRPr="00C32C06">
        <w:t>Notice of Intent to Prepare a Supplemental EIS, Docket No. CP16-454</w:t>
      </w:r>
      <w:r>
        <w:t xml:space="preserve">-000, et al. (issued Sept. 13, 2024) and Texas LNG, Notice of Intent to Prepare a Supplemental EIS, Docket No. CP16-116-000, et al. (issued Sept. 13, 2024)).  </w:t>
      </w:r>
      <w:r w:rsidRPr="00D36809">
        <w:t xml:space="preserve">As explained above, the D.C. Circuit in </w:t>
      </w:r>
      <w:r w:rsidRPr="00D36809">
        <w:rPr>
          <w:i/>
          <w:iCs/>
        </w:rPr>
        <w:t>City of Port Isabel</w:t>
      </w:r>
      <w:r w:rsidRPr="00D36809">
        <w:t xml:space="preserve"> has since granted rehearing and amended its opinion to remand without vacatur.</w:t>
      </w:r>
    </w:p>
  </w:footnote>
  <w:footnote w:id="383">
    <w:p w14:paraId="6E5F8716" w14:textId="77777777" w:rsidR="00246FBA" w:rsidRDefault="00246FBA" w:rsidP="00246FBA">
      <w:pPr>
        <w:pStyle w:val="FootnoteText"/>
      </w:pPr>
      <w:r>
        <w:rPr>
          <w:rStyle w:val="FootnoteReference"/>
        </w:rPr>
        <w:footnoteRef/>
      </w:r>
      <w:r>
        <w:t xml:space="preserve"> </w:t>
      </w:r>
      <w:r>
        <w:rPr>
          <w:i/>
          <w:iCs/>
        </w:rPr>
        <w:t>Id.</w:t>
      </w:r>
      <w:r>
        <w:t xml:space="preserve"> at 53-54 (citing Commonwealth LNG, </w:t>
      </w:r>
      <w:r w:rsidRPr="00195FA0">
        <w:t xml:space="preserve">Notice of </w:t>
      </w:r>
      <w:r>
        <w:t>Schedule for the Preparation of</w:t>
      </w:r>
      <w:r w:rsidRPr="00195FA0">
        <w:t xml:space="preserve"> a Supplemental EIS</w:t>
      </w:r>
      <w:r>
        <w:t>,</w:t>
      </w:r>
      <w:r w:rsidRPr="00195FA0">
        <w:t xml:space="preserve"> Docket No. CP19-502</w:t>
      </w:r>
      <w:r>
        <w:t>-000</w:t>
      </w:r>
      <w:r w:rsidRPr="00195FA0">
        <w:t xml:space="preserve">, </w:t>
      </w:r>
      <w:r>
        <w:t xml:space="preserve">at al., (issued Nov. 27, 2024)).  </w:t>
      </w:r>
    </w:p>
  </w:footnote>
  <w:footnote w:id="384">
    <w:p w14:paraId="61CE5B17" w14:textId="77777777" w:rsidR="00246FBA" w:rsidRDefault="00246FBA" w:rsidP="00246FBA">
      <w:pPr>
        <w:pStyle w:val="FootnoteText"/>
      </w:pPr>
      <w:r>
        <w:rPr>
          <w:rStyle w:val="FootnoteReference"/>
        </w:rPr>
        <w:footnoteRef/>
      </w:r>
      <w:r>
        <w:t xml:space="preserve"> </w:t>
      </w:r>
      <w:r>
        <w:rPr>
          <w:i/>
          <w:iCs/>
        </w:rPr>
        <w:t>Id.</w:t>
      </w:r>
      <w:r>
        <w:t xml:space="preserve"> at 54.</w:t>
      </w:r>
    </w:p>
  </w:footnote>
  <w:footnote w:id="385">
    <w:p w14:paraId="44896430" w14:textId="77777777" w:rsidR="0035450F" w:rsidRPr="0035450F" w:rsidRDefault="0035450F">
      <w:pPr>
        <w:pStyle w:val="FootnoteText"/>
      </w:pPr>
      <w:r>
        <w:rPr>
          <w:rStyle w:val="FootnoteReference"/>
        </w:rPr>
        <w:footnoteRef/>
      </w:r>
      <w:r>
        <w:t xml:space="preserve"> </w:t>
      </w:r>
      <w:r>
        <w:rPr>
          <w:i/>
          <w:iCs/>
        </w:rPr>
        <w:t>See supra</w:t>
      </w:r>
      <w:r>
        <w:t xml:space="preserve"> </w:t>
      </w:r>
      <w:r w:rsidRPr="00EF1855">
        <w:t xml:space="preserve">note </w:t>
      </w:r>
      <w:r w:rsidR="00283A89">
        <w:t>122</w:t>
      </w:r>
      <w:r>
        <w:t xml:space="preserve">.  </w:t>
      </w:r>
    </w:p>
  </w:footnote>
  <w:footnote w:id="386">
    <w:p w14:paraId="65D54F51" w14:textId="77777777" w:rsidR="003F2F5C" w:rsidRDefault="003F2F5C">
      <w:pPr>
        <w:pStyle w:val="FootnoteText"/>
      </w:pPr>
      <w:r w:rsidRPr="00D337E4">
        <w:rPr>
          <w:rStyle w:val="FootnoteReference"/>
        </w:rPr>
        <w:footnoteRef/>
      </w:r>
      <w:r w:rsidRPr="00D337E4">
        <w:t xml:space="preserve"> </w:t>
      </w:r>
      <w:r w:rsidR="00D337E4">
        <w:t xml:space="preserve">Authorization Order, 187 FERC ¶ 61,199 at envtl. cond. 10 (requiring </w:t>
      </w:r>
      <w:r w:rsidR="00387F22">
        <w:t xml:space="preserve">Venture Global </w:t>
      </w:r>
      <w:r w:rsidR="001E7F1A">
        <w:t>file documentation</w:t>
      </w:r>
      <w:r w:rsidR="0096578B">
        <w:t xml:space="preserve"> with the Commission</w:t>
      </w:r>
      <w:r w:rsidR="001E7F1A">
        <w:t xml:space="preserve"> that it has received all applicable authorizations required under federal law</w:t>
      </w:r>
      <w:r w:rsidR="0096578B">
        <w:t xml:space="preserve"> and receive written authorization before commencing construction of project facilities</w:t>
      </w:r>
      <w:r w:rsidR="00D337E4">
        <w:t xml:space="preserve">).  </w:t>
      </w:r>
    </w:p>
  </w:footnote>
  <w:footnote w:id="387">
    <w:p w14:paraId="4350B403" w14:textId="77777777" w:rsidR="005D273A" w:rsidRDefault="005D273A">
      <w:pPr>
        <w:pStyle w:val="FootnoteText"/>
      </w:pPr>
      <w:r>
        <w:rPr>
          <w:rStyle w:val="FootnoteReference"/>
        </w:rPr>
        <w:footnoteRef/>
      </w:r>
      <w:r>
        <w:t xml:space="preserve"> </w:t>
      </w:r>
      <w:r w:rsidRPr="005D273A">
        <w:t xml:space="preserve">Venture Global Apr. 21, 2025 Response to Comments at 10 (stating that the Title V and PSD permits for the CP2 LNG Project and Moss Lake Compressor Station are still under review by the LDEQ); Venture Global Mar. 21, 2025 Updated Permit Table, att. 1 at 3 (indicating that Venture Global expects the outstanding Title V and PSD permits in the third quarter of 2025).  </w:t>
      </w:r>
      <w:r w:rsidR="00912E83">
        <w:rPr>
          <w:i/>
          <w:iCs/>
        </w:rPr>
        <w:t>See</w:t>
      </w:r>
      <w:r w:rsidR="00912E83">
        <w:t xml:space="preserve"> </w:t>
      </w:r>
      <w:r w:rsidR="000919A2" w:rsidRPr="000919A2">
        <w:t>42 U.S.C. § 7475(a)(3) (generally prohibiting construction of a major emitting facility unless the facility operator demonstrates that emissions from construction or operation of such facility will not cause, or contribute to, air pollution in excess of any:  (a) maximum allowable increase or maximum allowable concentration for any pollutant in any area to which this part applies more than one time per year, (b) NAAQS in any air quality control region, or (c) any other applicable emission standard or standard of performance under this chapter).</w:t>
      </w:r>
    </w:p>
  </w:footnote>
  <w:footnote w:id="388">
    <w:p w14:paraId="0A16ABEA" w14:textId="77777777" w:rsidR="0086282B" w:rsidRDefault="0086282B" w:rsidP="0086282B">
      <w:pPr>
        <w:pStyle w:val="FootnoteText"/>
      </w:pPr>
      <w:r>
        <w:rPr>
          <w:rStyle w:val="FootnoteReference"/>
        </w:rPr>
        <w:footnoteRef/>
      </w:r>
      <w:r>
        <w:t xml:space="preserve"> Authorization Order, 187 FERC ¶ 61,199 at P 201.</w:t>
      </w:r>
      <w:r w:rsidR="006D7BEF">
        <w:t xml:space="preserve">  </w:t>
      </w:r>
    </w:p>
  </w:footnote>
  <w:footnote w:id="389">
    <w:p w14:paraId="22CDD4CD" w14:textId="77777777" w:rsidR="006F616B" w:rsidRDefault="006F616B">
      <w:pPr>
        <w:pStyle w:val="FootnoteText"/>
      </w:pPr>
      <w:r>
        <w:rPr>
          <w:rStyle w:val="FootnoteReference"/>
        </w:rPr>
        <w:footnoteRef/>
      </w:r>
      <w:r>
        <w:t xml:space="preserve"> </w:t>
      </w:r>
      <w:r w:rsidR="000C6645">
        <w:t>Authorization Order, 187 FERC ¶ 61,199 at en</w:t>
      </w:r>
      <w:r w:rsidR="00793A70">
        <w:t>v</w:t>
      </w:r>
      <w:r w:rsidR="00587175">
        <w:t xml:space="preserve">tl. cond. 10 (requiring Venture Global obtain all applicable authorizations under federal law).  </w:t>
      </w:r>
      <w:r w:rsidR="002D64D7">
        <w:t xml:space="preserve">Following issuance of the Rehearing Order, Commission staff has continued to </w:t>
      </w:r>
      <w:r w:rsidR="00146096">
        <w:t xml:space="preserve">process </w:t>
      </w:r>
      <w:r w:rsidR="004B44C3">
        <w:t xml:space="preserve">Venture Global’s Implementation Plans, and Venture Global has submitted </w:t>
      </w:r>
      <w:r w:rsidR="0010556F">
        <w:t>responses to the Commission’s continuing data requests</w:t>
      </w:r>
      <w:r w:rsidR="00FA1D39">
        <w:t xml:space="preserve"> related to those Implementation Plans</w:t>
      </w:r>
      <w:r w:rsidR="0010556F">
        <w:t xml:space="preserve">.  </w:t>
      </w:r>
    </w:p>
  </w:footnote>
  <w:footnote w:id="390">
    <w:p w14:paraId="4D697711" w14:textId="77777777" w:rsidR="003C6C7A" w:rsidRDefault="003C6C7A">
      <w:pPr>
        <w:pStyle w:val="FootnoteText"/>
      </w:pPr>
      <w:r>
        <w:rPr>
          <w:rStyle w:val="FootnoteReference"/>
        </w:rPr>
        <w:footnoteRef/>
      </w:r>
      <w:r w:rsidRPr="003C6C7A">
        <w:t xml:space="preserve"> </w:t>
      </w:r>
      <w:r w:rsidRPr="003C6C7A">
        <w:rPr>
          <w:i/>
          <w:iCs/>
        </w:rPr>
        <w:t>See, e.g.</w:t>
      </w:r>
      <w:r w:rsidRPr="003C6C7A">
        <w:t xml:space="preserve">, </w:t>
      </w:r>
      <w:r w:rsidRPr="003C6C7A">
        <w:rPr>
          <w:i/>
          <w:iCs/>
        </w:rPr>
        <w:t>Mobil Oil Corp. v. FTC</w:t>
      </w:r>
      <w:r w:rsidRPr="003C6C7A">
        <w:t xml:space="preserve">, 562 F.2d 170, 173 (2d Cir. 1977) (citing </w:t>
      </w:r>
      <w:r w:rsidR="00970433">
        <w:t xml:space="preserve">      </w:t>
      </w:r>
      <w:r w:rsidRPr="003C6C7A">
        <w:t>42 U.S.C. § 4332(2)(c)(v))</w:t>
      </w:r>
      <w:r w:rsidR="00992CB6">
        <w:t>,</w:t>
      </w:r>
      <w:r w:rsidRPr="003C6C7A">
        <w:t> </w:t>
      </w:r>
      <w:r w:rsidR="00992CB6" w:rsidRPr="00EA0891">
        <w:rPr>
          <w:i/>
          <w:iCs/>
        </w:rPr>
        <w:t>Sierra Club v. Peterson</w:t>
      </w:r>
      <w:r w:rsidR="00992CB6" w:rsidRPr="00EA0891">
        <w:t>, 717 F.2d 1409, 1415 (D.C. Cir. 1983)</w:t>
      </w:r>
      <w:r w:rsidR="00992CB6">
        <w:t xml:space="preserve"> (explaining that </w:t>
      </w:r>
      <w:r w:rsidR="00EA333D">
        <w:t>f</w:t>
      </w:r>
      <w:r w:rsidR="00992CB6" w:rsidRPr="00992CB6">
        <w:t xml:space="preserve">ederal agencies must “evaluate the environmental consequences of their actions </w:t>
      </w:r>
      <w:r w:rsidR="00992CB6" w:rsidRPr="00992CB6">
        <w:rPr>
          <w:i/>
          <w:iCs/>
        </w:rPr>
        <w:t>prior</w:t>
      </w:r>
      <w:r w:rsidR="00992CB6" w:rsidRPr="00992CB6">
        <w:t xml:space="preserve"> to commitment to any actions which might affect the quality of the human environment” and “[i]f </w:t>
      </w:r>
      <w:r w:rsidR="00992CB6" w:rsidRPr="00992CB6">
        <w:rPr>
          <w:i/>
          <w:iCs/>
        </w:rPr>
        <w:t>any</w:t>
      </w:r>
      <w:r w:rsidR="00992CB6" w:rsidRPr="00992CB6">
        <w:t xml:space="preserve"> ‘significant’ environmental impacts might result from the proposed agency action then an EIS must be prepared </w:t>
      </w:r>
      <w:r w:rsidR="00992CB6" w:rsidRPr="00992CB6">
        <w:rPr>
          <w:i/>
          <w:iCs/>
        </w:rPr>
        <w:t>before</w:t>
      </w:r>
      <w:r w:rsidR="00992CB6" w:rsidRPr="00992CB6">
        <w:t xml:space="preserve"> the action is taken”</w:t>
      </w:r>
      <w:r w:rsidR="00EA333D">
        <w:t xml:space="preserve">). </w:t>
      </w:r>
    </w:p>
  </w:footnote>
  <w:footnote w:id="391">
    <w:p w14:paraId="6209A2A9" w14:textId="77777777" w:rsidR="00547458" w:rsidRDefault="00547458" w:rsidP="00547458">
      <w:pPr>
        <w:pStyle w:val="FootnoteText"/>
      </w:pPr>
      <w:r>
        <w:rPr>
          <w:rStyle w:val="FootnoteReference"/>
        </w:rPr>
        <w:footnoteRef/>
      </w:r>
      <w:r>
        <w:t xml:space="preserve"> </w:t>
      </w:r>
      <w:r w:rsidRPr="006C525B">
        <w:rPr>
          <w:i/>
          <w:iCs/>
        </w:rPr>
        <w:t>Nat. Res. Def. Council, Inc. v. Callaway</w:t>
      </w:r>
      <w:r w:rsidRPr="006C525B">
        <w:t>, 524 F.2d 79, 92 (2d Cir. 1975)</w:t>
      </w:r>
      <w:r>
        <w:t xml:space="preserve"> (“</w:t>
      </w:r>
      <w:r w:rsidRPr="00A504FA">
        <w:t>Although an EIS may be supplemented, the critical agency decision must, of course, be made after the supplement has been circulated, considered and discussed in the light of the alternatives, not before.</w:t>
      </w:r>
      <w:r w:rsidR="00F27AD9">
        <w:t xml:space="preserve">  </w:t>
      </w:r>
      <w:r w:rsidR="00FB4AFD" w:rsidRPr="00A504FA">
        <w:t>Otherwise,</w:t>
      </w:r>
      <w:r w:rsidRPr="00A504FA">
        <w:t xml:space="preserve"> the process becomes a useless ritual, defeating the purpose of NEPA, and rather making a mockery of it.</w:t>
      </w:r>
      <w:r>
        <w:t>”).  A</w:t>
      </w:r>
      <w:r w:rsidRPr="009C7517">
        <w:t xml:space="preserve">lthough Venture Global argues that it should be permitted to start construction on areas “not affected by the supplemental EIS”, </w:t>
      </w:r>
      <w:r>
        <w:rPr>
          <w:i/>
          <w:iCs/>
        </w:rPr>
        <w:t xml:space="preserve">see </w:t>
      </w:r>
      <w:r>
        <w:t>Venture Global Rehearing Request at 56 (</w:t>
      </w:r>
      <w:r w:rsidRPr="009C7517">
        <w:t xml:space="preserve">citing </w:t>
      </w:r>
      <w:r w:rsidRPr="009C7517">
        <w:rPr>
          <w:i/>
          <w:iCs/>
        </w:rPr>
        <w:t>Stop H-3</w:t>
      </w:r>
      <w:r w:rsidRPr="009C7517">
        <w:t xml:space="preserve">, </w:t>
      </w:r>
      <w:r w:rsidR="00970433">
        <w:t xml:space="preserve">               </w:t>
      </w:r>
      <w:r w:rsidRPr="009C7517">
        <w:t xml:space="preserve">870 F.2d </w:t>
      </w:r>
      <w:r w:rsidR="00AA6ECB">
        <w:t>at</w:t>
      </w:r>
      <w:r w:rsidRPr="009C7517">
        <w:t xml:space="preserve"> 1426-27</w:t>
      </w:r>
      <w:r>
        <w:t>)</w:t>
      </w:r>
      <w:r w:rsidRPr="009C7517">
        <w:t xml:space="preserve">, </w:t>
      </w:r>
      <w:r w:rsidR="00AA6ECB">
        <w:t xml:space="preserve">we find </w:t>
      </w:r>
      <w:r w:rsidR="00AA6ECB">
        <w:rPr>
          <w:i/>
          <w:iCs/>
        </w:rPr>
        <w:t>Stop H-3</w:t>
      </w:r>
      <w:r w:rsidR="00AA6ECB">
        <w:t xml:space="preserve"> </w:t>
      </w:r>
      <w:r w:rsidRPr="009C7517">
        <w:t>distinguishable from the instant proceeding where there remains major federal action under agency consideration.</w:t>
      </w:r>
    </w:p>
  </w:footnote>
  <w:footnote w:id="392">
    <w:p w14:paraId="26B22548" w14:textId="77777777" w:rsidR="00D44FCC" w:rsidRDefault="00D44FCC" w:rsidP="00D44FCC">
      <w:pPr>
        <w:pStyle w:val="FootnoteText"/>
      </w:pPr>
      <w:r>
        <w:rPr>
          <w:rStyle w:val="FootnoteReference"/>
        </w:rPr>
        <w:footnoteRef/>
      </w:r>
      <w:r>
        <w:t xml:space="preserve"> Venture Global Rehearing Request at 50-51.  </w:t>
      </w:r>
    </w:p>
  </w:footnote>
  <w:footnote w:id="393">
    <w:p w14:paraId="1B4D069D" w14:textId="77777777" w:rsidR="00867A81" w:rsidRPr="003A4F5B" w:rsidRDefault="00867A81">
      <w:pPr>
        <w:pStyle w:val="FootnoteText"/>
      </w:pPr>
      <w:r>
        <w:rPr>
          <w:rStyle w:val="FootnoteReference"/>
        </w:rPr>
        <w:footnoteRef/>
      </w:r>
      <w:r>
        <w:t xml:space="preserve"> </w:t>
      </w:r>
      <w:r w:rsidR="00083F43">
        <w:t>Order Denying Stay</w:t>
      </w:r>
      <w:r w:rsidR="00083F43" w:rsidRPr="006A280D">
        <w:t>, 189 FERC ¶ 61,005</w:t>
      </w:r>
      <w:r w:rsidR="00083F43">
        <w:t>, at P 4</w:t>
      </w:r>
      <w:r w:rsidR="003A4F5B">
        <w:t xml:space="preserve">; </w:t>
      </w:r>
      <w:r w:rsidR="003A4F5B">
        <w:rPr>
          <w:i/>
          <w:iCs/>
        </w:rPr>
        <w:t>id</w:t>
      </w:r>
      <w:r w:rsidR="003A4F5B">
        <w:t>. at P 22 (“</w:t>
      </w:r>
      <w:r w:rsidR="003A4F5B" w:rsidRPr="003A4F5B">
        <w:t xml:space="preserve">We find that granting a stay of the Projects’ authorizations, thereby halting any and all project construction </w:t>
      </w:r>
      <w:r w:rsidR="003A4F5B" w:rsidRPr="00D84C5A">
        <w:rPr>
          <w:i/>
          <w:iCs/>
        </w:rPr>
        <w:t>for an undefined period of time</w:t>
      </w:r>
      <w:r w:rsidR="003A4F5B" w:rsidRPr="003A4F5B">
        <w:t>, would cause delay and therefore harm to CP2 LNG and CP Express and their customers who are relying on the Projects to provide needed transportation capacity and export of natural gas—exports that have been approved following the Department of Energy’s (DOE) application of the public interest standard under NGA section 3.</w:t>
      </w:r>
      <w:r w:rsidR="003A4F5B">
        <w:t>”)</w:t>
      </w:r>
      <w:r w:rsidR="00FF4A58">
        <w:t xml:space="preserve"> (emphasis added)</w:t>
      </w:r>
      <w:r w:rsidR="003A4F5B">
        <w:t>.</w:t>
      </w:r>
    </w:p>
  </w:footnote>
  <w:footnote w:id="394">
    <w:p w14:paraId="75036523" w14:textId="77777777" w:rsidR="009F4957" w:rsidRDefault="009F4957">
      <w:pPr>
        <w:pStyle w:val="FootnoteText"/>
      </w:pPr>
      <w:r>
        <w:rPr>
          <w:rStyle w:val="FootnoteReference"/>
        </w:rPr>
        <w:footnoteRef/>
      </w:r>
      <w:r>
        <w:t xml:space="preserve"> </w:t>
      </w:r>
      <w:r w:rsidR="00CE6E56" w:rsidRPr="005F46EB">
        <w:t>Order No. 871-B, 175 FERC ¶ 61,098</w:t>
      </w:r>
      <w:r w:rsidR="003E4EEA">
        <w:t xml:space="preserve"> at P </w:t>
      </w:r>
      <w:r w:rsidR="00543A75">
        <w:t>46</w:t>
      </w:r>
      <w:r w:rsidR="00CE6E56" w:rsidRPr="005F46EB">
        <w:t xml:space="preserve"> </w:t>
      </w:r>
      <w:r w:rsidR="00AD031C">
        <w:t>(</w:t>
      </w:r>
      <w:r w:rsidR="00853ED7">
        <w:t xml:space="preserve">citing </w:t>
      </w:r>
      <w:r w:rsidR="00AD031C" w:rsidRPr="00AD031C">
        <w:rPr>
          <w:i/>
          <w:iCs/>
        </w:rPr>
        <w:t>Allegheny</w:t>
      </w:r>
      <w:r w:rsidR="00853ED7">
        <w:rPr>
          <w:i/>
          <w:iCs/>
        </w:rPr>
        <w:t xml:space="preserve"> </w:t>
      </w:r>
      <w:r w:rsidR="001A6511">
        <w:rPr>
          <w:i/>
          <w:iCs/>
        </w:rPr>
        <w:t>Def.</w:t>
      </w:r>
      <w:r w:rsidR="00853ED7">
        <w:rPr>
          <w:i/>
          <w:iCs/>
        </w:rPr>
        <w:t xml:space="preserve"> Project</w:t>
      </w:r>
      <w:r w:rsidR="00AD031C" w:rsidRPr="00AD031C">
        <w:t>, 964 F.3d at 8</w:t>
      </w:r>
      <w:r w:rsidR="00853ED7">
        <w:t>)</w:t>
      </w:r>
      <w:r w:rsidR="00CE6E56">
        <w:t>.</w:t>
      </w:r>
      <w:r w:rsidR="00040982">
        <w:t xml:space="preserve">  </w:t>
      </w:r>
    </w:p>
  </w:footnote>
  <w:footnote w:id="395">
    <w:p w14:paraId="1E4BE115" w14:textId="77777777" w:rsidR="00A8348C" w:rsidRDefault="00A8348C">
      <w:pPr>
        <w:pStyle w:val="FootnoteText"/>
      </w:pPr>
      <w:r>
        <w:rPr>
          <w:rStyle w:val="FootnoteReference"/>
        </w:rPr>
        <w:footnoteRef/>
      </w:r>
      <w:r>
        <w:t xml:space="preserve"> </w:t>
      </w:r>
      <w:r w:rsidR="00AE0D27">
        <w:t xml:space="preserve">Rehearing Order, </w:t>
      </w:r>
      <w:r w:rsidR="00AE0D27" w:rsidRPr="00004D2F">
        <w:t>189 FERC ¶ 61,148</w:t>
      </w:r>
      <w:r w:rsidR="00AE0D27">
        <w:t xml:space="preserve"> at P 186.  </w:t>
      </w:r>
    </w:p>
  </w:footnote>
  <w:footnote w:id="396">
    <w:p w14:paraId="6006B5B9" w14:textId="77777777" w:rsidR="00242581" w:rsidRDefault="00242581">
      <w:pPr>
        <w:pStyle w:val="FootnoteText"/>
      </w:pPr>
      <w:r>
        <w:rPr>
          <w:rStyle w:val="FootnoteReference"/>
        </w:rPr>
        <w:footnoteRef/>
      </w:r>
      <w:r>
        <w:t xml:space="preserve"> Venture Global Rehearing Request at 53-54</w:t>
      </w:r>
      <w:r w:rsidR="00D92DEA">
        <w:t>.</w:t>
      </w:r>
    </w:p>
  </w:footnote>
  <w:footnote w:id="397">
    <w:p w14:paraId="7C7664E7" w14:textId="77777777" w:rsidR="00C46CF0" w:rsidRPr="00EF15C0" w:rsidRDefault="00C46CF0" w:rsidP="00C46CF0">
      <w:pPr>
        <w:pStyle w:val="FootnoteText"/>
      </w:pPr>
      <w:r>
        <w:rPr>
          <w:rStyle w:val="FootnoteReference"/>
        </w:rPr>
        <w:footnoteRef/>
      </w:r>
      <w:r>
        <w:t xml:space="preserve"> </w:t>
      </w:r>
      <w:r w:rsidR="00F72155" w:rsidRPr="00850F80">
        <w:rPr>
          <w:i/>
        </w:rPr>
        <w:t xml:space="preserve">Supra </w:t>
      </w:r>
      <w:r w:rsidR="00F72155" w:rsidRPr="00850F80">
        <w:t>section</w:t>
      </w:r>
      <w:r w:rsidR="004B3407">
        <w:t>s III.C &amp;</w:t>
      </w:r>
      <w:r w:rsidR="00F72155" w:rsidRPr="00850F80">
        <w:t xml:space="preserve"> IV.A.</w:t>
      </w:r>
      <w:r w:rsidR="00F72155">
        <w:t xml:space="preserve">; </w:t>
      </w:r>
      <w:r w:rsidR="00F72155">
        <w:rPr>
          <w:i/>
          <w:iCs/>
        </w:rPr>
        <w:t xml:space="preserve">see </w:t>
      </w:r>
      <w:r w:rsidRPr="00EF15C0">
        <w:rPr>
          <w:i/>
          <w:iCs/>
        </w:rPr>
        <w:t>Oglala Sioux Tribe v. U.S. Nuclear Regul. Comm</w:t>
      </w:r>
      <w:r>
        <w:rPr>
          <w:i/>
          <w:iCs/>
        </w:rPr>
        <w:t>’</w:t>
      </w:r>
      <w:r w:rsidRPr="00EF15C0">
        <w:rPr>
          <w:i/>
          <w:iCs/>
        </w:rPr>
        <w:t>n</w:t>
      </w:r>
      <w:r w:rsidRPr="00EF15C0">
        <w:t>, 896 F.3d 520, 536 (D.C. Cir. 2018)</w:t>
      </w:r>
      <w:r>
        <w:t xml:space="preserve">; </w:t>
      </w:r>
      <w:r>
        <w:rPr>
          <w:i/>
          <w:iCs/>
        </w:rPr>
        <w:t>see also id.</w:t>
      </w:r>
      <w:r>
        <w:t xml:space="preserve"> (citing </w:t>
      </w:r>
      <w:r w:rsidRPr="001731A7">
        <w:rPr>
          <w:i/>
          <w:iCs/>
        </w:rPr>
        <w:t>Winter v. Nat. Res. Def. Council, Inc.</w:t>
      </w:r>
      <w:r w:rsidRPr="001731A7">
        <w:t>, 555 U.S. 7, 23</w:t>
      </w:r>
      <w:r>
        <w:t xml:space="preserve"> </w:t>
      </w:r>
      <w:r w:rsidRPr="001731A7">
        <w:t>(2008)</w:t>
      </w:r>
      <w:r>
        <w:t>) (“</w:t>
      </w:r>
      <w:r w:rsidRPr="00662655">
        <w:t>Part of the harm NEPA attempts to prevent in requiring an EIS is that, without one, there may be little if any information about</w:t>
      </w:r>
      <w:r w:rsidR="00F72155">
        <w:t xml:space="preserve"> </w:t>
      </w:r>
      <w:r w:rsidRPr="00662655">
        <w:rPr>
          <w:i/>
          <w:iCs/>
        </w:rPr>
        <w:t>prospective</w:t>
      </w:r>
      <w:r w:rsidR="00F72155">
        <w:t xml:space="preserve"> </w:t>
      </w:r>
      <w:r w:rsidRPr="00662655">
        <w:t>environmental harms and potential mitigating measures.”</w:t>
      </w:r>
      <w:r>
        <w:t xml:space="preserve">) (emphasis in original); </w:t>
      </w:r>
      <w:r w:rsidRPr="007B2FB6">
        <w:rPr>
          <w:i/>
          <w:iCs/>
        </w:rPr>
        <w:t>Found. on Econ. Trends v. Weinberger</w:t>
      </w:r>
      <w:r w:rsidRPr="007B2FB6">
        <w:t>, 610 F. Supp. 829, 843 (D.D.C. 1985)</w:t>
      </w:r>
      <w:r>
        <w:t xml:space="preserve"> (citing </w:t>
      </w:r>
      <w:r w:rsidRPr="00BC2137">
        <w:rPr>
          <w:i/>
          <w:iCs/>
        </w:rPr>
        <w:t>Sierra Club v. Peterson,</w:t>
      </w:r>
      <w:r w:rsidRPr="00BC2137">
        <w:t> 717 F.2d at 1414</w:t>
      </w:r>
      <w:r>
        <w:t xml:space="preserve"> and </w:t>
      </w:r>
      <w:r w:rsidRPr="00BC2137">
        <w:rPr>
          <w:i/>
          <w:iCs/>
        </w:rPr>
        <w:t>Scientists</w:t>
      </w:r>
      <w:r>
        <w:rPr>
          <w:i/>
          <w:iCs/>
        </w:rPr>
        <w:t>’</w:t>
      </w:r>
      <w:r w:rsidRPr="00BC2137">
        <w:rPr>
          <w:i/>
          <w:iCs/>
        </w:rPr>
        <w:t xml:space="preserve"> Inst</w:t>
      </w:r>
      <w:r w:rsidR="008E3B34">
        <w:rPr>
          <w:i/>
          <w:iCs/>
        </w:rPr>
        <w:t>.</w:t>
      </w:r>
      <w:r w:rsidR="008E3B34">
        <w:t xml:space="preserve">, </w:t>
      </w:r>
      <w:r w:rsidRPr="00BC2137">
        <w:t xml:space="preserve">481 F.2d </w:t>
      </w:r>
      <w:r w:rsidR="008E3B34">
        <w:t>at</w:t>
      </w:r>
      <w:r w:rsidRPr="00BC2137">
        <w:t xml:space="preserve"> 1098</w:t>
      </w:r>
      <w:r>
        <w:t>) (“S</w:t>
      </w:r>
      <w:r w:rsidRPr="00F24D58">
        <w:t xml:space="preserve">hould the defendants seek to proceed with the construction of the proposed facility, they must recognize that now is the appropriate time for filing an adequate environmental assessment, before an </w:t>
      </w:r>
      <w:r>
        <w:t>‘</w:t>
      </w:r>
      <w:r w:rsidRPr="00F24D58">
        <w:t>irretrievable commitment[ ] of resources is invested in the construction of the proposed facility.</w:t>
      </w:r>
      <w:r>
        <w:t>’”)</w:t>
      </w:r>
      <w:r w:rsidR="00FE6BA1">
        <w:t>.</w:t>
      </w:r>
    </w:p>
  </w:footnote>
  <w:footnote w:id="398">
    <w:p w14:paraId="6509E4EE" w14:textId="77777777" w:rsidR="005D0F70" w:rsidRDefault="005D0F70">
      <w:pPr>
        <w:pStyle w:val="FootnoteText"/>
      </w:pPr>
      <w:r>
        <w:rPr>
          <w:rStyle w:val="FootnoteReference"/>
        </w:rPr>
        <w:footnoteRef/>
      </w:r>
      <w:r>
        <w:t xml:space="preserve"> Venture Global Rehearing Request at 57.  </w:t>
      </w:r>
    </w:p>
  </w:footnote>
  <w:footnote w:id="399">
    <w:p w14:paraId="47A077C5" w14:textId="77777777" w:rsidR="004B431C" w:rsidRDefault="004B431C">
      <w:pPr>
        <w:pStyle w:val="FootnoteText"/>
      </w:pPr>
      <w:r>
        <w:rPr>
          <w:rStyle w:val="FootnoteReference"/>
        </w:rPr>
        <w:footnoteRef/>
      </w:r>
      <w:r>
        <w:t xml:space="preserve"> </w:t>
      </w:r>
      <w:r w:rsidR="002E735F">
        <w:rPr>
          <w:i/>
          <w:iCs/>
        </w:rPr>
        <w:t>Id.</w:t>
      </w:r>
      <w:r>
        <w:t xml:space="preserve"> (citing </w:t>
      </w:r>
      <w:r w:rsidRPr="005F46EB">
        <w:t>Order No. 871-B, 175 FERC ¶</w:t>
      </w:r>
      <w:r w:rsidR="003B54FB">
        <w:t> </w:t>
      </w:r>
      <w:r w:rsidRPr="005F46EB">
        <w:t>61,098 at PP 16-17</w:t>
      </w:r>
      <w:r>
        <w:t>)</w:t>
      </w:r>
      <w:r w:rsidR="002E735F">
        <w:t>.</w:t>
      </w:r>
    </w:p>
  </w:footnote>
  <w:footnote w:id="400">
    <w:p w14:paraId="721F9D53" w14:textId="77777777" w:rsidR="00837BCE" w:rsidRDefault="00837BCE">
      <w:pPr>
        <w:pStyle w:val="FootnoteText"/>
      </w:pPr>
      <w:r>
        <w:rPr>
          <w:rStyle w:val="FootnoteReference"/>
        </w:rPr>
        <w:footnoteRef/>
      </w:r>
      <w:r>
        <w:t xml:space="preserve"> </w:t>
      </w:r>
      <w:r w:rsidR="002E735F">
        <w:rPr>
          <w:i/>
          <w:iCs/>
        </w:rPr>
        <w:t>Id.</w:t>
      </w:r>
      <w:r w:rsidR="002E735F">
        <w:t xml:space="preserve"> at </w:t>
      </w:r>
      <w:r>
        <w:t xml:space="preserve">57-58.  </w:t>
      </w:r>
    </w:p>
  </w:footnote>
  <w:footnote w:id="401">
    <w:p w14:paraId="41E37469" w14:textId="77777777" w:rsidR="00F4100C" w:rsidRPr="00F4100C" w:rsidRDefault="00F4100C">
      <w:pPr>
        <w:pStyle w:val="FootnoteText"/>
      </w:pPr>
      <w:r>
        <w:rPr>
          <w:rStyle w:val="FootnoteReference"/>
        </w:rPr>
        <w:footnoteRef/>
      </w:r>
      <w:r w:rsidR="004D7594" w:rsidDel="00037CF4">
        <w:t xml:space="preserve"> </w:t>
      </w:r>
      <w:r w:rsidR="007D1D8A">
        <w:t xml:space="preserve">In addition, </w:t>
      </w:r>
      <w:r w:rsidR="004D7594">
        <w:t xml:space="preserve">any further rehearing requests would not implicate the initial authorizing order and, therefore, </w:t>
      </w:r>
      <w:r w:rsidR="00300943">
        <w:t xml:space="preserve">we </w:t>
      </w:r>
      <w:r w:rsidR="00937824">
        <w:t xml:space="preserve">agree that application of section 157.23 of the Commission’s regulations, as amended in Order No. 871-B, </w:t>
      </w:r>
      <w:r w:rsidR="003401F7">
        <w:t>is</w:t>
      </w:r>
      <w:r w:rsidR="00937824">
        <w:t xml:space="preserve"> inapplicable here</w:t>
      </w:r>
      <w:r w:rsidR="00A9380A">
        <w:t xml:space="preserve">. </w:t>
      </w:r>
      <w:r>
        <w:t xml:space="preserve"> </w:t>
      </w:r>
      <w:r w:rsidR="00A9380A">
        <w:rPr>
          <w:i/>
          <w:iCs/>
        </w:rPr>
        <w:t>S</w:t>
      </w:r>
      <w:r>
        <w:rPr>
          <w:i/>
          <w:iCs/>
        </w:rPr>
        <w:t>ee</w:t>
      </w:r>
      <w:r>
        <w:t xml:space="preserve"> </w:t>
      </w:r>
      <w:r w:rsidRPr="005F46EB">
        <w:t>Order No. 871-B, 175 FERC ¶ 61,098 at PP 16-17</w:t>
      </w:r>
      <w:r>
        <w:t xml:space="preserve"> (</w:t>
      </w:r>
      <w:r w:rsidRPr="00F4100C">
        <w:t>“To the extent that a non-initial order merely implements the terms, conditions, or other provisions of an initial authorizing order—such as a delegated order issuing a notice to proceed with construction, approving a variance request, or allowing the applicant to place the project, or a portion thereof, in service— a request for rehearing of that order would not implicate the initial authorizing order and so we agree that the rule would not apply.”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3EBA" w14:textId="77777777" w:rsidR="00653D8D" w:rsidRDefault="00E4257F" w:rsidP="00407EE0">
    <w:pPr>
      <w:pStyle w:val="Head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7A088479" wp14:editId="33CF0B98">
              <wp:simplePos x="635" y="635"/>
              <wp:positionH relativeFrom="page">
                <wp:align>center</wp:align>
              </wp:positionH>
              <wp:positionV relativeFrom="page">
                <wp:align>top</wp:align>
              </wp:positionV>
              <wp:extent cx="284480" cy="380365"/>
              <wp:effectExtent l="0" t="0" r="1270" b="635"/>
              <wp:wrapNone/>
              <wp:docPr id="87037042" name="Text Box 87037042" descr="CUI">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4480" cy="380365"/>
                      </a:xfrm>
                      <a:prstGeom prst="rect">
                        <a:avLst/>
                      </a:prstGeom>
                      <a:noFill/>
                      <a:ln>
                        <a:noFill/>
                      </a:ln>
                    </wps:spPr>
                    <wps:txbx>
                      <w:txbxContent>
                        <w:p w14:paraId="65C79768" w14:textId="77777777" w:rsidR="00E4257F" w:rsidRPr="00E4257F" w:rsidRDefault="00E4257F" w:rsidP="00E4257F">
                          <w:pPr>
                            <w:rPr>
                              <w:rFonts w:eastAsia="Times New Roman"/>
                              <w:noProof/>
                              <w:color w:val="FF0000"/>
                              <w:szCs w:val="26"/>
                            </w:rPr>
                          </w:pPr>
                          <w:r w:rsidRPr="00E4257F">
                            <w:rPr>
                              <w:rFonts w:eastAsia="Times New Roman"/>
                              <w:noProof/>
                              <w:color w:val="FF0000"/>
                              <w:szCs w:val="26"/>
                            </w:rPr>
                            <w:t>CUI</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088479" id="_x0000_t202" coordsize="21600,21600" o:spt="202" path="m,l,21600r21600,l21600,xe">
              <v:stroke joinstyle="miter"/>
              <v:path gradientshapeok="t" o:connecttype="rect"/>
            </v:shapetype>
            <v:shape id="Text Box 87037042" o:spid="_x0000_s1026" type="#_x0000_t202" alt="CUI" style="position:absolute;margin-left:0;margin-top:0;width:22.4pt;height:29.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" filled="f" stroked="f">
              <v:textbox style="mso-fit-shape-to-text:t" inset="0,15pt,0,0">
                <w:txbxContent>
                  <w:p w14:paraId="65C79768" w14:textId="77777777" w:rsidR="00E4257F" w:rsidRPr="00E4257F" w:rsidRDefault="00E4257F" w:rsidP="00E4257F">
                    <w:pPr>
                      <w:rPr>
                        <w:rFonts w:eastAsia="Times New Roman"/>
                        <w:noProof/>
                        <w:color w:val="FF0000"/>
                        <w:szCs w:val="26"/>
                      </w:rPr>
                    </w:pPr>
                    <w:r w:rsidRPr="00E4257F">
                      <w:rPr>
                        <w:rFonts w:eastAsia="Times New Roman"/>
                        <w:noProof/>
                        <w:color w:val="FF0000"/>
                        <w:szCs w:val="26"/>
                      </w:rPr>
                      <w:t>CUI</w:t>
                    </w:r>
                  </w:p>
                </w:txbxContent>
              </v:textbox>
              <w10:wrap anchorx="page" anchory="page"/>
            </v:shape>
          </w:pict>
        </mc:Fallback>
      </mc:AlternateContent>
    </w:r>
    <w:r w:rsidR="00653D8D">
      <w:rPr>
        <w:rStyle w:val="PageNumber"/>
      </w:rPr>
      <w:fldChar w:fldCharType="begin"/>
    </w:r>
    <w:r w:rsidR="00653D8D">
      <w:rPr>
        <w:rStyle w:val="PageNumber"/>
      </w:rPr>
      <w:instrText xml:space="preserve">PAGE  </w:instrText>
    </w:r>
    <w:r w:rsidR="00653D8D">
      <w:rPr>
        <w:rStyle w:val="PageNumber"/>
      </w:rPr>
      <w:fldChar w:fldCharType="separate"/>
    </w:r>
    <w:r w:rsidR="00653D8D">
      <w:rPr>
        <w:rStyle w:val="PageNumber"/>
        <w:noProof/>
      </w:rPr>
      <w:t>- 1 -</w:t>
    </w:r>
    <w:r w:rsidR="00653D8D">
      <w:rPr>
        <w:rStyle w:val="PageNumber"/>
      </w:rPr>
      <w:fldChar w:fldCharType="end"/>
    </w:r>
  </w:p>
  <w:p w14:paraId="1A6719DF" w14:textId="77777777" w:rsidR="00653D8D" w:rsidRDefault="00653D8D" w:rsidP="00407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FA018" w14:textId="77777777" w:rsidR="00653D8D" w:rsidRDefault="00E4257F" w:rsidP="001276F4">
    <w:pPr>
      <w:pStyle w:val="Header"/>
      <w:tabs>
        <w:tab w:val="clear" w:pos="4680"/>
      </w:tabs>
      <w:spacing w:after="240"/>
    </w:pPr>
    <w:r>
      <w:rPr>
        <w:noProof/>
      </w:rPr>
      <mc:AlternateContent>
        <mc:Choice Requires="wps">
          <w:drawing>
            <wp:anchor distT="0" distB="0" distL="0" distR="0" simplePos="0" relativeHeight="251658242" behindDoc="0" locked="0" layoutInCell="1" allowOverlap="1" wp14:anchorId="28FCA6F4" wp14:editId="7F9DA538">
              <wp:simplePos x="635" y="635"/>
              <wp:positionH relativeFrom="page">
                <wp:align>center</wp:align>
              </wp:positionH>
              <wp:positionV relativeFrom="page">
                <wp:align>top</wp:align>
              </wp:positionV>
              <wp:extent cx="284480" cy="380365"/>
              <wp:effectExtent l="0" t="0" r="1270" b="635"/>
              <wp:wrapNone/>
              <wp:docPr id="968970916" name="Text Box 968970916" descr="CUI">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4480" cy="380365"/>
                      </a:xfrm>
                      <a:prstGeom prst="rect">
                        <a:avLst/>
                      </a:prstGeom>
                      <a:noFill/>
                      <a:ln>
                        <a:noFill/>
                      </a:ln>
                    </wps:spPr>
                    <wps:txbx>
                      <w:txbxContent>
                        <w:p w14:paraId="1F92C8D8" w14:textId="77777777" w:rsidR="00E4257F" w:rsidRPr="00E4257F" w:rsidRDefault="00E4257F" w:rsidP="00E4257F">
                          <w:pPr>
                            <w:rPr>
                              <w:rFonts w:eastAsia="Times New Roman"/>
                              <w:noProof/>
                              <w:color w:val="FF0000"/>
                              <w:szCs w:val="26"/>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FCA6F4" id="_x0000_t202" coordsize="21600,21600" o:spt="202" path="m,l,21600r21600,l21600,xe">
              <v:stroke joinstyle="miter"/>
              <v:path gradientshapeok="t" o:connecttype="rect"/>
            </v:shapetype>
            <v:shape id="Text Box 968970916" o:spid="_x0000_s1027" type="#_x0000_t202" alt="CUI" style="position:absolute;margin-left:0;margin-top:0;width:22.4pt;height:29.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" filled="f" stroked="f">
              <v:textbox style="mso-fit-shape-to-text:t" inset="0,15pt,0,0">
                <w:txbxContent>
                  <w:p w14:paraId="1F92C8D8" w14:textId="77777777" w:rsidR="00E4257F" w:rsidRPr="00E4257F" w:rsidRDefault="00E4257F" w:rsidP="00E4257F">
                    <w:pPr>
                      <w:rPr>
                        <w:rFonts w:eastAsia="Times New Roman"/>
                        <w:noProof/>
                        <w:color w:val="FF0000"/>
                        <w:szCs w:val="26"/>
                      </w:rPr>
                    </w:pPr>
                  </w:p>
                </w:txbxContent>
              </v:textbox>
              <w10:wrap anchorx="page" anchory="page"/>
            </v:shape>
          </w:pict>
        </mc:Fallback>
      </mc:AlternateContent>
    </w:r>
    <w:r w:rsidR="001276F4">
      <w:t>Docket No. CP22-21-00</w:t>
    </w:r>
    <w:r w:rsidR="0010360D">
      <w:t>1, et al.</w:t>
    </w:r>
    <w:r w:rsidR="001276F4">
      <w:tab/>
    </w:r>
    <w:r w:rsidR="001276F4">
      <w:fldChar w:fldCharType="begin"/>
    </w:r>
    <w:r w:rsidR="001276F4">
      <w:instrText xml:space="preserve"> PAGE  \* MERGEFORMAT </w:instrText>
    </w:r>
    <w:r w:rsidR="001276F4">
      <w:fldChar w:fldCharType="separate"/>
    </w:r>
    <w:r w:rsidR="001276F4">
      <w:rPr>
        <w:noProof/>
      </w:rPr>
      <w:t>- 1 -</w:t>
    </w:r>
    <w:r w:rsidR="001276F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4F1" w14:textId="77777777" w:rsidR="00653D8D" w:rsidRDefault="00E4257F" w:rsidP="00EC3F55">
    <w:pPr>
      <w:pStyle w:val="Header"/>
      <w:tabs>
        <w:tab w:val="clear" w:pos="4680"/>
      </w:tabs>
    </w:pPr>
    <w:r>
      <w:rPr>
        <w:noProof/>
      </w:rPr>
      <mc:AlternateContent>
        <mc:Choice Requires="wps">
          <w:drawing>
            <wp:anchor distT="0" distB="0" distL="0" distR="0" simplePos="0" relativeHeight="251658240" behindDoc="0" locked="0" layoutInCell="1" allowOverlap="1" wp14:anchorId="5DD85997" wp14:editId="4FF1E69F">
              <wp:simplePos x="914400" y="457200"/>
              <wp:positionH relativeFrom="page">
                <wp:align>center</wp:align>
              </wp:positionH>
              <wp:positionV relativeFrom="page">
                <wp:align>top</wp:align>
              </wp:positionV>
              <wp:extent cx="284480" cy="380365"/>
              <wp:effectExtent l="0" t="0" r="1270" b="635"/>
              <wp:wrapNone/>
              <wp:docPr id="1291420042" name="Text Box 1291420042" descr="CUI">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4480" cy="380365"/>
                      </a:xfrm>
                      <a:prstGeom prst="rect">
                        <a:avLst/>
                      </a:prstGeom>
                      <a:noFill/>
                      <a:ln>
                        <a:noFill/>
                      </a:ln>
                    </wps:spPr>
                    <wps:txbx>
                      <w:txbxContent>
                        <w:p w14:paraId="0AF78AD9" w14:textId="77777777" w:rsidR="00E4257F" w:rsidRPr="00E4257F" w:rsidRDefault="00E4257F" w:rsidP="00E4257F">
                          <w:pPr>
                            <w:rPr>
                              <w:rFonts w:eastAsia="Times New Roman"/>
                              <w:noProof/>
                              <w:color w:val="FF0000"/>
                              <w:szCs w:val="26"/>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D85997" id="_x0000_t202" coordsize="21600,21600" o:spt="202" path="m,l,21600r21600,l21600,xe">
              <v:stroke joinstyle="miter"/>
              <v:path gradientshapeok="t" o:connecttype="rect"/>
            </v:shapetype>
            <v:shape id="Text Box 1291420042" o:spid="_x0000_s1028" type="#_x0000_t202" alt="CUI" style="position:absolute;margin-left:0;margin-top:0;width:22.4pt;height:29.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" filled="f" stroked="f">
              <v:textbox style="mso-fit-shape-to-text:t" inset="0,15pt,0,0">
                <w:txbxContent>
                  <w:p w14:paraId="0AF78AD9" w14:textId="77777777" w:rsidR="00E4257F" w:rsidRPr="00E4257F" w:rsidRDefault="00E4257F" w:rsidP="00E4257F">
                    <w:pPr>
                      <w:rPr>
                        <w:rFonts w:eastAsia="Times New Roman"/>
                        <w:noProof/>
                        <w:color w:val="FF0000"/>
                        <w:szCs w:val="2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17E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6B9A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3"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4"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5"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6"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3" w15:restartNumberingAfterBreak="0">
    <w:nsid w:val="063008B8"/>
    <w:multiLevelType w:val="hybridMultilevel"/>
    <w:tmpl w:val="3B00DC4E"/>
    <w:lvl w:ilvl="0" w:tplc="57640620">
      <w:start w:val="1"/>
      <w:numFmt w:val="bullet"/>
      <w:lvlText w:val=""/>
      <w:lvlJc w:val="left"/>
      <w:pPr>
        <w:ind w:left="1800" w:hanging="360"/>
      </w:pPr>
      <w:rPr>
        <w:rFonts w:ascii="Symbol" w:hAnsi="Symbol"/>
      </w:rPr>
    </w:lvl>
    <w:lvl w:ilvl="1" w:tplc="7A80FA50">
      <w:start w:val="1"/>
      <w:numFmt w:val="bullet"/>
      <w:lvlText w:val=""/>
      <w:lvlJc w:val="left"/>
      <w:pPr>
        <w:ind w:left="1800" w:hanging="360"/>
      </w:pPr>
      <w:rPr>
        <w:rFonts w:ascii="Symbol" w:hAnsi="Symbol"/>
      </w:rPr>
    </w:lvl>
    <w:lvl w:ilvl="2" w:tplc="889C3BB6">
      <w:start w:val="1"/>
      <w:numFmt w:val="bullet"/>
      <w:lvlText w:val=""/>
      <w:lvlJc w:val="left"/>
      <w:pPr>
        <w:ind w:left="1800" w:hanging="360"/>
      </w:pPr>
      <w:rPr>
        <w:rFonts w:ascii="Symbol" w:hAnsi="Symbol"/>
      </w:rPr>
    </w:lvl>
    <w:lvl w:ilvl="3" w:tplc="2E0CD300">
      <w:start w:val="1"/>
      <w:numFmt w:val="bullet"/>
      <w:lvlText w:val=""/>
      <w:lvlJc w:val="left"/>
      <w:pPr>
        <w:ind w:left="1800" w:hanging="360"/>
      </w:pPr>
      <w:rPr>
        <w:rFonts w:ascii="Symbol" w:hAnsi="Symbol"/>
      </w:rPr>
    </w:lvl>
    <w:lvl w:ilvl="4" w:tplc="4E6603CE">
      <w:start w:val="1"/>
      <w:numFmt w:val="bullet"/>
      <w:lvlText w:val=""/>
      <w:lvlJc w:val="left"/>
      <w:pPr>
        <w:ind w:left="1800" w:hanging="360"/>
      </w:pPr>
      <w:rPr>
        <w:rFonts w:ascii="Symbol" w:hAnsi="Symbol"/>
      </w:rPr>
    </w:lvl>
    <w:lvl w:ilvl="5" w:tplc="567681F4">
      <w:start w:val="1"/>
      <w:numFmt w:val="bullet"/>
      <w:lvlText w:val=""/>
      <w:lvlJc w:val="left"/>
      <w:pPr>
        <w:ind w:left="1800" w:hanging="360"/>
      </w:pPr>
      <w:rPr>
        <w:rFonts w:ascii="Symbol" w:hAnsi="Symbol"/>
      </w:rPr>
    </w:lvl>
    <w:lvl w:ilvl="6" w:tplc="F11C6D0A">
      <w:start w:val="1"/>
      <w:numFmt w:val="bullet"/>
      <w:lvlText w:val=""/>
      <w:lvlJc w:val="left"/>
      <w:pPr>
        <w:ind w:left="1800" w:hanging="360"/>
      </w:pPr>
      <w:rPr>
        <w:rFonts w:ascii="Symbol" w:hAnsi="Symbol"/>
      </w:rPr>
    </w:lvl>
    <w:lvl w:ilvl="7" w:tplc="92C86E6A">
      <w:start w:val="1"/>
      <w:numFmt w:val="bullet"/>
      <w:lvlText w:val=""/>
      <w:lvlJc w:val="left"/>
      <w:pPr>
        <w:ind w:left="1800" w:hanging="360"/>
      </w:pPr>
      <w:rPr>
        <w:rFonts w:ascii="Symbol" w:hAnsi="Symbol"/>
      </w:rPr>
    </w:lvl>
    <w:lvl w:ilvl="8" w:tplc="5A4C6A58">
      <w:start w:val="1"/>
      <w:numFmt w:val="bullet"/>
      <w:lvlText w:val=""/>
      <w:lvlJc w:val="left"/>
      <w:pPr>
        <w:ind w:left="1800" w:hanging="360"/>
      </w:pPr>
      <w:rPr>
        <w:rFonts w:ascii="Symbol" w:hAnsi="Symbol"/>
      </w:rPr>
    </w:lvl>
  </w:abstractNum>
  <w:abstractNum w:abstractNumId="14"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5"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7"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8" w15:restartNumberingAfterBreak="0">
    <w:nsid w:val="2F96468D"/>
    <w:multiLevelType w:val="hybridMultilevel"/>
    <w:tmpl w:val="98660CBA"/>
    <w:lvl w:ilvl="0" w:tplc="A4F4CE62">
      <w:start w:val="1"/>
      <w:numFmt w:val="decimal"/>
      <w:lvlText w:val="%1."/>
      <w:lvlJc w:val="left"/>
      <w:pPr>
        <w:ind w:left="1440" w:hanging="360"/>
      </w:pPr>
    </w:lvl>
    <w:lvl w:ilvl="1" w:tplc="34C6DF78">
      <w:start w:val="1"/>
      <w:numFmt w:val="decimal"/>
      <w:lvlText w:val="%2."/>
      <w:lvlJc w:val="left"/>
      <w:pPr>
        <w:ind w:left="1440" w:hanging="360"/>
      </w:pPr>
    </w:lvl>
    <w:lvl w:ilvl="2" w:tplc="84902602">
      <w:start w:val="1"/>
      <w:numFmt w:val="decimal"/>
      <w:lvlText w:val="%3."/>
      <w:lvlJc w:val="left"/>
      <w:pPr>
        <w:ind w:left="1440" w:hanging="360"/>
      </w:pPr>
    </w:lvl>
    <w:lvl w:ilvl="3" w:tplc="985EE868">
      <w:start w:val="1"/>
      <w:numFmt w:val="decimal"/>
      <w:lvlText w:val="%4."/>
      <w:lvlJc w:val="left"/>
      <w:pPr>
        <w:ind w:left="1440" w:hanging="360"/>
      </w:pPr>
    </w:lvl>
    <w:lvl w:ilvl="4" w:tplc="6418866E">
      <w:start w:val="1"/>
      <w:numFmt w:val="decimal"/>
      <w:lvlText w:val="%5."/>
      <w:lvlJc w:val="left"/>
      <w:pPr>
        <w:ind w:left="1440" w:hanging="360"/>
      </w:pPr>
    </w:lvl>
    <w:lvl w:ilvl="5" w:tplc="A92ECEA6">
      <w:start w:val="1"/>
      <w:numFmt w:val="decimal"/>
      <w:lvlText w:val="%6."/>
      <w:lvlJc w:val="left"/>
      <w:pPr>
        <w:ind w:left="1440" w:hanging="360"/>
      </w:pPr>
    </w:lvl>
    <w:lvl w:ilvl="6" w:tplc="55D40060">
      <w:start w:val="1"/>
      <w:numFmt w:val="decimal"/>
      <w:lvlText w:val="%7."/>
      <w:lvlJc w:val="left"/>
      <w:pPr>
        <w:ind w:left="1440" w:hanging="360"/>
      </w:pPr>
    </w:lvl>
    <w:lvl w:ilvl="7" w:tplc="9FFC11E0">
      <w:start w:val="1"/>
      <w:numFmt w:val="decimal"/>
      <w:lvlText w:val="%8."/>
      <w:lvlJc w:val="left"/>
      <w:pPr>
        <w:ind w:left="1440" w:hanging="360"/>
      </w:pPr>
    </w:lvl>
    <w:lvl w:ilvl="8" w:tplc="FC5CF3C2">
      <w:start w:val="1"/>
      <w:numFmt w:val="decimal"/>
      <w:lvlText w:val="%9."/>
      <w:lvlJc w:val="left"/>
      <w:pPr>
        <w:ind w:left="1440" w:hanging="360"/>
      </w:pPr>
    </w:lvl>
  </w:abstractNum>
  <w:abstractNum w:abstractNumId="19"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6082C"/>
    <w:multiLevelType w:val="hybridMultilevel"/>
    <w:tmpl w:val="287213FA"/>
    <w:lvl w:ilvl="0" w:tplc="399A47A6">
      <w:start w:val="1"/>
      <w:numFmt w:val="upperLetter"/>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502FF"/>
    <w:multiLevelType w:val="multilevel"/>
    <w:tmpl w:val="42787ABA"/>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2"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4A0BEA"/>
    <w:multiLevelType w:val="multilevel"/>
    <w:tmpl w:val="B4A6B136"/>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4" w15:restartNumberingAfterBreak="0">
    <w:nsid w:val="6EE03A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6" w15:restartNumberingAfterBreak="0">
    <w:nsid w:val="7D3B09D3"/>
    <w:multiLevelType w:val="hybridMultilevel"/>
    <w:tmpl w:val="7FB60E36"/>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1080175">
    <w:abstractNumId w:val="11"/>
  </w:num>
  <w:num w:numId="2" w16cid:durableId="436825673">
    <w:abstractNumId w:val="9"/>
  </w:num>
  <w:num w:numId="3" w16cid:durableId="2023042739">
    <w:abstractNumId w:val="8"/>
  </w:num>
  <w:num w:numId="4" w16cid:durableId="1507210208">
    <w:abstractNumId w:val="7"/>
  </w:num>
  <w:num w:numId="5" w16cid:durableId="255291719">
    <w:abstractNumId w:val="6"/>
  </w:num>
  <w:num w:numId="6" w16cid:durableId="124351206">
    <w:abstractNumId w:val="10"/>
  </w:num>
  <w:num w:numId="7" w16cid:durableId="1778678035">
    <w:abstractNumId w:val="5"/>
  </w:num>
  <w:num w:numId="8" w16cid:durableId="1575512540">
    <w:abstractNumId w:val="4"/>
  </w:num>
  <w:num w:numId="9" w16cid:durableId="1142500387">
    <w:abstractNumId w:val="3"/>
  </w:num>
  <w:num w:numId="10" w16cid:durableId="1312561718">
    <w:abstractNumId w:val="2"/>
  </w:num>
  <w:num w:numId="11" w16cid:durableId="812917180">
    <w:abstractNumId w:val="26"/>
  </w:num>
  <w:num w:numId="12" w16cid:durableId="52506773">
    <w:abstractNumId w:val="22"/>
  </w:num>
  <w:num w:numId="13" w16cid:durableId="859006164">
    <w:abstractNumId w:val="16"/>
  </w:num>
  <w:num w:numId="14" w16cid:durableId="311065281">
    <w:abstractNumId w:val="25"/>
  </w:num>
  <w:num w:numId="15" w16cid:durableId="1146164863">
    <w:abstractNumId w:val="21"/>
  </w:num>
  <w:num w:numId="16" w16cid:durableId="10713903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519094">
    <w:abstractNumId w:val="14"/>
  </w:num>
  <w:num w:numId="18" w16cid:durableId="1754618900">
    <w:abstractNumId w:val="12"/>
  </w:num>
  <w:num w:numId="19" w16cid:durableId="1358699890">
    <w:abstractNumId w:val="17"/>
  </w:num>
  <w:num w:numId="20" w16cid:durableId="1399862505">
    <w:abstractNumId w:val="15"/>
  </w:num>
  <w:num w:numId="21" w16cid:durableId="984897000">
    <w:abstractNumId w:val="27"/>
  </w:num>
  <w:num w:numId="22" w16cid:durableId="46496330">
    <w:abstractNumId w:val="19"/>
  </w:num>
  <w:num w:numId="23" w16cid:durableId="1324774541">
    <w:abstractNumId w:val="20"/>
  </w:num>
  <w:num w:numId="24" w16cid:durableId="363864748">
    <w:abstractNumId w:val="24"/>
  </w:num>
  <w:num w:numId="25" w16cid:durableId="1372996177">
    <w:abstractNumId w:val="0"/>
  </w:num>
  <w:num w:numId="26" w16cid:durableId="1483156414">
    <w:abstractNumId w:val="1"/>
  </w:num>
  <w:num w:numId="27" w16cid:durableId="1304887306">
    <w:abstractNumId w:val="18"/>
  </w:num>
  <w:num w:numId="28" w16cid:durableId="964307904">
    <w:abstractNumId w:val="13"/>
  </w:num>
  <w:num w:numId="29" w16cid:durableId="73553125">
    <w:abstractNumId w:val="26"/>
    <w:lvlOverride w:ilvl="0">
      <w:startOverride w:val="1"/>
    </w:lvlOverride>
  </w:num>
  <w:num w:numId="30" w16cid:durableId="9292420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F4"/>
    <w:rsid w:val="00000291"/>
    <w:rsid w:val="00000298"/>
    <w:rsid w:val="000006D1"/>
    <w:rsid w:val="00000A10"/>
    <w:rsid w:val="00000BC7"/>
    <w:rsid w:val="00000D3C"/>
    <w:rsid w:val="0000126E"/>
    <w:rsid w:val="00001595"/>
    <w:rsid w:val="00001596"/>
    <w:rsid w:val="00001C0D"/>
    <w:rsid w:val="00001E55"/>
    <w:rsid w:val="0000205A"/>
    <w:rsid w:val="000020A2"/>
    <w:rsid w:val="000020B8"/>
    <w:rsid w:val="000022B3"/>
    <w:rsid w:val="00002302"/>
    <w:rsid w:val="00002315"/>
    <w:rsid w:val="000024C2"/>
    <w:rsid w:val="000025BE"/>
    <w:rsid w:val="00002AEF"/>
    <w:rsid w:val="00002EC4"/>
    <w:rsid w:val="00003181"/>
    <w:rsid w:val="00003340"/>
    <w:rsid w:val="00003818"/>
    <w:rsid w:val="00003C95"/>
    <w:rsid w:val="00003E6E"/>
    <w:rsid w:val="000044C8"/>
    <w:rsid w:val="0000450A"/>
    <w:rsid w:val="0000492A"/>
    <w:rsid w:val="00004D2B"/>
    <w:rsid w:val="00004D2F"/>
    <w:rsid w:val="00004D66"/>
    <w:rsid w:val="00004EBE"/>
    <w:rsid w:val="0000570B"/>
    <w:rsid w:val="000062AF"/>
    <w:rsid w:val="0000648A"/>
    <w:rsid w:val="00006498"/>
    <w:rsid w:val="0000661F"/>
    <w:rsid w:val="000066B0"/>
    <w:rsid w:val="0000678C"/>
    <w:rsid w:val="00006BF8"/>
    <w:rsid w:val="00006EF8"/>
    <w:rsid w:val="0000731D"/>
    <w:rsid w:val="00007539"/>
    <w:rsid w:val="000075C0"/>
    <w:rsid w:val="000077CC"/>
    <w:rsid w:val="0000782F"/>
    <w:rsid w:val="000078DC"/>
    <w:rsid w:val="00007B61"/>
    <w:rsid w:val="00007D1F"/>
    <w:rsid w:val="00007DB2"/>
    <w:rsid w:val="00007EBE"/>
    <w:rsid w:val="00010028"/>
    <w:rsid w:val="00010148"/>
    <w:rsid w:val="000102C2"/>
    <w:rsid w:val="000105A6"/>
    <w:rsid w:val="000108C8"/>
    <w:rsid w:val="00010FA6"/>
    <w:rsid w:val="000110FA"/>
    <w:rsid w:val="00011633"/>
    <w:rsid w:val="000118C8"/>
    <w:rsid w:val="000119C6"/>
    <w:rsid w:val="00011CC6"/>
    <w:rsid w:val="00011FC0"/>
    <w:rsid w:val="0001232B"/>
    <w:rsid w:val="000123EE"/>
    <w:rsid w:val="000125FA"/>
    <w:rsid w:val="00012621"/>
    <w:rsid w:val="000127FF"/>
    <w:rsid w:val="00012FD5"/>
    <w:rsid w:val="00013310"/>
    <w:rsid w:val="000135BD"/>
    <w:rsid w:val="00013CEA"/>
    <w:rsid w:val="00014041"/>
    <w:rsid w:val="000141D1"/>
    <w:rsid w:val="000143AA"/>
    <w:rsid w:val="00014695"/>
    <w:rsid w:val="00014D5C"/>
    <w:rsid w:val="000153D1"/>
    <w:rsid w:val="000156D2"/>
    <w:rsid w:val="000158EB"/>
    <w:rsid w:val="0001590D"/>
    <w:rsid w:val="00015BB5"/>
    <w:rsid w:val="00015E23"/>
    <w:rsid w:val="00015F9B"/>
    <w:rsid w:val="00016053"/>
    <w:rsid w:val="000162B2"/>
    <w:rsid w:val="000165F5"/>
    <w:rsid w:val="00016B67"/>
    <w:rsid w:val="000170CE"/>
    <w:rsid w:val="00017378"/>
    <w:rsid w:val="00017646"/>
    <w:rsid w:val="00017704"/>
    <w:rsid w:val="0001784C"/>
    <w:rsid w:val="00017CC3"/>
    <w:rsid w:val="0002042F"/>
    <w:rsid w:val="00020564"/>
    <w:rsid w:val="0002084F"/>
    <w:rsid w:val="00020944"/>
    <w:rsid w:val="00020C72"/>
    <w:rsid w:val="00020D7F"/>
    <w:rsid w:val="00020F45"/>
    <w:rsid w:val="00021101"/>
    <w:rsid w:val="00021638"/>
    <w:rsid w:val="00021760"/>
    <w:rsid w:val="0002182F"/>
    <w:rsid w:val="0002188C"/>
    <w:rsid w:val="0002191F"/>
    <w:rsid w:val="00021CC5"/>
    <w:rsid w:val="000225DD"/>
    <w:rsid w:val="000227F3"/>
    <w:rsid w:val="00022A33"/>
    <w:rsid w:val="00022D2A"/>
    <w:rsid w:val="00023387"/>
    <w:rsid w:val="0002355F"/>
    <w:rsid w:val="000235F3"/>
    <w:rsid w:val="00023726"/>
    <w:rsid w:val="00023751"/>
    <w:rsid w:val="00023A2F"/>
    <w:rsid w:val="00023C12"/>
    <w:rsid w:val="00023E7D"/>
    <w:rsid w:val="0002473F"/>
    <w:rsid w:val="00024766"/>
    <w:rsid w:val="000247D2"/>
    <w:rsid w:val="000248C9"/>
    <w:rsid w:val="00024F3D"/>
    <w:rsid w:val="00025747"/>
    <w:rsid w:val="00025B7A"/>
    <w:rsid w:val="00025B86"/>
    <w:rsid w:val="00025DFC"/>
    <w:rsid w:val="00025ED4"/>
    <w:rsid w:val="00025F5B"/>
    <w:rsid w:val="00025FD5"/>
    <w:rsid w:val="00026146"/>
    <w:rsid w:val="00026207"/>
    <w:rsid w:val="0002633C"/>
    <w:rsid w:val="00026682"/>
    <w:rsid w:val="00026815"/>
    <w:rsid w:val="00027475"/>
    <w:rsid w:val="000275A2"/>
    <w:rsid w:val="000276D0"/>
    <w:rsid w:val="00027FF2"/>
    <w:rsid w:val="00030327"/>
    <w:rsid w:val="00030810"/>
    <w:rsid w:val="00030B40"/>
    <w:rsid w:val="00030D5F"/>
    <w:rsid w:val="00030D6E"/>
    <w:rsid w:val="00031073"/>
    <w:rsid w:val="000316E8"/>
    <w:rsid w:val="00031799"/>
    <w:rsid w:val="00031E2F"/>
    <w:rsid w:val="000322CA"/>
    <w:rsid w:val="000323FE"/>
    <w:rsid w:val="000324EB"/>
    <w:rsid w:val="0003267F"/>
    <w:rsid w:val="00032B7B"/>
    <w:rsid w:val="00032C4C"/>
    <w:rsid w:val="00032C99"/>
    <w:rsid w:val="00032DF7"/>
    <w:rsid w:val="00032E81"/>
    <w:rsid w:val="00033209"/>
    <w:rsid w:val="000333C9"/>
    <w:rsid w:val="000333E7"/>
    <w:rsid w:val="000333EF"/>
    <w:rsid w:val="0003342A"/>
    <w:rsid w:val="0003382F"/>
    <w:rsid w:val="0003413D"/>
    <w:rsid w:val="000342F7"/>
    <w:rsid w:val="000345D0"/>
    <w:rsid w:val="00034A1C"/>
    <w:rsid w:val="00034FA7"/>
    <w:rsid w:val="000351DB"/>
    <w:rsid w:val="0003564F"/>
    <w:rsid w:val="00035A43"/>
    <w:rsid w:val="00035EDC"/>
    <w:rsid w:val="00035F10"/>
    <w:rsid w:val="00035FA1"/>
    <w:rsid w:val="0003608F"/>
    <w:rsid w:val="00036405"/>
    <w:rsid w:val="00036766"/>
    <w:rsid w:val="00036FE6"/>
    <w:rsid w:val="00037196"/>
    <w:rsid w:val="00037717"/>
    <w:rsid w:val="00037AAF"/>
    <w:rsid w:val="00037C5A"/>
    <w:rsid w:val="00037CA4"/>
    <w:rsid w:val="00037CF4"/>
    <w:rsid w:val="00037D55"/>
    <w:rsid w:val="000400A1"/>
    <w:rsid w:val="000408E7"/>
    <w:rsid w:val="0004092C"/>
    <w:rsid w:val="00040953"/>
    <w:rsid w:val="00040982"/>
    <w:rsid w:val="00040F8B"/>
    <w:rsid w:val="00041184"/>
    <w:rsid w:val="000413E9"/>
    <w:rsid w:val="00041BF4"/>
    <w:rsid w:val="00042158"/>
    <w:rsid w:val="000423E6"/>
    <w:rsid w:val="000428C4"/>
    <w:rsid w:val="00042F36"/>
    <w:rsid w:val="000432A9"/>
    <w:rsid w:val="0004359E"/>
    <w:rsid w:val="00043B97"/>
    <w:rsid w:val="00043D86"/>
    <w:rsid w:val="00043EDA"/>
    <w:rsid w:val="000440AF"/>
    <w:rsid w:val="0004435B"/>
    <w:rsid w:val="00044B8A"/>
    <w:rsid w:val="00044C98"/>
    <w:rsid w:val="00044D5B"/>
    <w:rsid w:val="00045129"/>
    <w:rsid w:val="00045165"/>
    <w:rsid w:val="000452F3"/>
    <w:rsid w:val="000457CB"/>
    <w:rsid w:val="00045801"/>
    <w:rsid w:val="00045F14"/>
    <w:rsid w:val="00045FB8"/>
    <w:rsid w:val="00046075"/>
    <w:rsid w:val="0004624A"/>
    <w:rsid w:val="00046479"/>
    <w:rsid w:val="00046645"/>
    <w:rsid w:val="00046666"/>
    <w:rsid w:val="00046B3E"/>
    <w:rsid w:val="00046B79"/>
    <w:rsid w:val="00046D8F"/>
    <w:rsid w:val="000477C4"/>
    <w:rsid w:val="00047BE1"/>
    <w:rsid w:val="00047C63"/>
    <w:rsid w:val="00047DBF"/>
    <w:rsid w:val="00047E0D"/>
    <w:rsid w:val="00047F63"/>
    <w:rsid w:val="00047FBF"/>
    <w:rsid w:val="0005011C"/>
    <w:rsid w:val="000505C0"/>
    <w:rsid w:val="00050614"/>
    <w:rsid w:val="00050727"/>
    <w:rsid w:val="00050728"/>
    <w:rsid w:val="00050A5C"/>
    <w:rsid w:val="00050ADB"/>
    <w:rsid w:val="00050B54"/>
    <w:rsid w:val="00050C44"/>
    <w:rsid w:val="00051115"/>
    <w:rsid w:val="0005135D"/>
    <w:rsid w:val="0005194C"/>
    <w:rsid w:val="00051CD6"/>
    <w:rsid w:val="000523BE"/>
    <w:rsid w:val="00052566"/>
    <w:rsid w:val="000526B8"/>
    <w:rsid w:val="00052775"/>
    <w:rsid w:val="00052A44"/>
    <w:rsid w:val="00052C4E"/>
    <w:rsid w:val="00052DDC"/>
    <w:rsid w:val="00052DE5"/>
    <w:rsid w:val="0005320E"/>
    <w:rsid w:val="00053446"/>
    <w:rsid w:val="00053736"/>
    <w:rsid w:val="00053CE3"/>
    <w:rsid w:val="00053E66"/>
    <w:rsid w:val="00053FD1"/>
    <w:rsid w:val="000542C0"/>
    <w:rsid w:val="000549EF"/>
    <w:rsid w:val="00054D44"/>
    <w:rsid w:val="00054F27"/>
    <w:rsid w:val="000550DC"/>
    <w:rsid w:val="00055218"/>
    <w:rsid w:val="00055558"/>
    <w:rsid w:val="0005557E"/>
    <w:rsid w:val="0005559A"/>
    <w:rsid w:val="000558F2"/>
    <w:rsid w:val="00055997"/>
    <w:rsid w:val="00055A07"/>
    <w:rsid w:val="00055C7A"/>
    <w:rsid w:val="00055DDB"/>
    <w:rsid w:val="00055E18"/>
    <w:rsid w:val="00055F5F"/>
    <w:rsid w:val="0005639B"/>
    <w:rsid w:val="000567AA"/>
    <w:rsid w:val="00056A05"/>
    <w:rsid w:val="00056A0E"/>
    <w:rsid w:val="00056A6A"/>
    <w:rsid w:val="00056B89"/>
    <w:rsid w:val="0005709C"/>
    <w:rsid w:val="000571F0"/>
    <w:rsid w:val="00057512"/>
    <w:rsid w:val="0005769E"/>
    <w:rsid w:val="00057858"/>
    <w:rsid w:val="0005785C"/>
    <w:rsid w:val="00057E20"/>
    <w:rsid w:val="00060043"/>
    <w:rsid w:val="000604FC"/>
    <w:rsid w:val="000606E3"/>
    <w:rsid w:val="0006084E"/>
    <w:rsid w:val="00060FB2"/>
    <w:rsid w:val="0006117F"/>
    <w:rsid w:val="000612EE"/>
    <w:rsid w:val="0006138E"/>
    <w:rsid w:val="00061437"/>
    <w:rsid w:val="0006164B"/>
    <w:rsid w:val="000616A8"/>
    <w:rsid w:val="000617F9"/>
    <w:rsid w:val="00061B0D"/>
    <w:rsid w:val="00061B75"/>
    <w:rsid w:val="00062039"/>
    <w:rsid w:val="0006269A"/>
    <w:rsid w:val="00062732"/>
    <w:rsid w:val="0006298E"/>
    <w:rsid w:val="00062F2C"/>
    <w:rsid w:val="00063457"/>
    <w:rsid w:val="00063651"/>
    <w:rsid w:val="0006370C"/>
    <w:rsid w:val="00063928"/>
    <w:rsid w:val="00063C74"/>
    <w:rsid w:val="00063D7E"/>
    <w:rsid w:val="0006406D"/>
    <w:rsid w:val="0006420F"/>
    <w:rsid w:val="000643D0"/>
    <w:rsid w:val="00064480"/>
    <w:rsid w:val="00064712"/>
    <w:rsid w:val="0006473A"/>
    <w:rsid w:val="0006477C"/>
    <w:rsid w:val="00064860"/>
    <w:rsid w:val="0006492A"/>
    <w:rsid w:val="00064C32"/>
    <w:rsid w:val="00064C78"/>
    <w:rsid w:val="00064EE1"/>
    <w:rsid w:val="00065C53"/>
    <w:rsid w:val="0006631E"/>
    <w:rsid w:val="00066742"/>
    <w:rsid w:val="00066747"/>
    <w:rsid w:val="000668CE"/>
    <w:rsid w:val="00066C2C"/>
    <w:rsid w:val="00066C2E"/>
    <w:rsid w:val="00066DE4"/>
    <w:rsid w:val="00066E05"/>
    <w:rsid w:val="00067049"/>
    <w:rsid w:val="000675F0"/>
    <w:rsid w:val="00067745"/>
    <w:rsid w:val="000677A4"/>
    <w:rsid w:val="00070097"/>
    <w:rsid w:val="00070426"/>
    <w:rsid w:val="00070602"/>
    <w:rsid w:val="00070857"/>
    <w:rsid w:val="00070B5C"/>
    <w:rsid w:val="00070C95"/>
    <w:rsid w:val="00070E9F"/>
    <w:rsid w:val="000721A4"/>
    <w:rsid w:val="000726AA"/>
    <w:rsid w:val="000727AD"/>
    <w:rsid w:val="00072C12"/>
    <w:rsid w:val="00072CD8"/>
    <w:rsid w:val="00073146"/>
    <w:rsid w:val="0007327B"/>
    <w:rsid w:val="0007377C"/>
    <w:rsid w:val="0007395E"/>
    <w:rsid w:val="00073A12"/>
    <w:rsid w:val="00073A81"/>
    <w:rsid w:val="00073E38"/>
    <w:rsid w:val="00073F4A"/>
    <w:rsid w:val="00073FCD"/>
    <w:rsid w:val="000744D6"/>
    <w:rsid w:val="00074509"/>
    <w:rsid w:val="00074607"/>
    <w:rsid w:val="000747C6"/>
    <w:rsid w:val="000748D3"/>
    <w:rsid w:val="00074E5C"/>
    <w:rsid w:val="00074F0E"/>
    <w:rsid w:val="00074F21"/>
    <w:rsid w:val="00074F7C"/>
    <w:rsid w:val="000756F2"/>
    <w:rsid w:val="00075A7E"/>
    <w:rsid w:val="00075B26"/>
    <w:rsid w:val="00075E84"/>
    <w:rsid w:val="00075E88"/>
    <w:rsid w:val="00075F2A"/>
    <w:rsid w:val="000761A7"/>
    <w:rsid w:val="000762E6"/>
    <w:rsid w:val="00076327"/>
    <w:rsid w:val="0007636C"/>
    <w:rsid w:val="000763F0"/>
    <w:rsid w:val="00076557"/>
    <w:rsid w:val="00076632"/>
    <w:rsid w:val="000768AE"/>
    <w:rsid w:val="00076923"/>
    <w:rsid w:val="00076C1D"/>
    <w:rsid w:val="00076C81"/>
    <w:rsid w:val="00076D1D"/>
    <w:rsid w:val="00077004"/>
    <w:rsid w:val="000770F9"/>
    <w:rsid w:val="0007716C"/>
    <w:rsid w:val="00077170"/>
    <w:rsid w:val="00077C03"/>
    <w:rsid w:val="00077F10"/>
    <w:rsid w:val="000802C6"/>
    <w:rsid w:val="0008050E"/>
    <w:rsid w:val="00080BED"/>
    <w:rsid w:val="00080E28"/>
    <w:rsid w:val="00080E64"/>
    <w:rsid w:val="000810F1"/>
    <w:rsid w:val="000817B0"/>
    <w:rsid w:val="0008185C"/>
    <w:rsid w:val="0008193D"/>
    <w:rsid w:val="00081C62"/>
    <w:rsid w:val="00081D04"/>
    <w:rsid w:val="00081DCD"/>
    <w:rsid w:val="00081F14"/>
    <w:rsid w:val="00081FEE"/>
    <w:rsid w:val="00082795"/>
    <w:rsid w:val="00082B9C"/>
    <w:rsid w:val="00082D59"/>
    <w:rsid w:val="00083179"/>
    <w:rsid w:val="00083579"/>
    <w:rsid w:val="000839A4"/>
    <w:rsid w:val="000839CF"/>
    <w:rsid w:val="00083A58"/>
    <w:rsid w:val="00083BAE"/>
    <w:rsid w:val="00083D06"/>
    <w:rsid w:val="00083D0C"/>
    <w:rsid w:val="00083F43"/>
    <w:rsid w:val="00084151"/>
    <w:rsid w:val="0008434C"/>
    <w:rsid w:val="000844BD"/>
    <w:rsid w:val="00084641"/>
    <w:rsid w:val="0008478C"/>
    <w:rsid w:val="00084A31"/>
    <w:rsid w:val="00084A71"/>
    <w:rsid w:val="00084DBD"/>
    <w:rsid w:val="00084EF6"/>
    <w:rsid w:val="000851D7"/>
    <w:rsid w:val="000853E3"/>
    <w:rsid w:val="000853FA"/>
    <w:rsid w:val="00085858"/>
    <w:rsid w:val="00085A03"/>
    <w:rsid w:val="00085B4E"/>
    <w:rsid w:val="00085F55"/>
    <w:rsid w:val="00086797"/>
    <w:rsid w:val="0008692D"/>
    <w:rsid w:val="00086A4F"/>
    <w:rsid w:val="00086B68"/>
    <w:rsid w:val="00086D60"/>
    <w:rsid w:val="00086D98"/>
    <w:rsid w:val="00086D9C"/>
    <w:rsid w:val="00086E27"/>
    <w:rsid w:val="00086E4A"/>
    <w:rsid w:val="0008778D"/>
    <w:rsid w:val="00087BC4"/>
    <w:rsid w:val="00087EB9"/>
    <w:rsid w:val="0009030D"/>
    <w:rsid w:val="00090720"/>
    <w:rsid w:val="00090B5D"/>
    <w:rsid w:val="000913AE"/>
    <w:rsid w:val="00091473"/>
    <w:rsid w:val="000914FB"/>
    <w:rsid w:val="00091550"/>
    <w:rsid w:val="000919A2"/>
    <w:rsid w:val="00091BE9"/>
    <w:rsid w:val="00091CC0"/>
    <w:rsid w:val="00092005"/>
    <w:rsid w:val="000920F3"/>
    <w:rsid w:val="00092468"/>
    <w:rsid w:val="000925EE"/>
    <w:rsid w:val="00092634"/>
    <w:rsid w:val="000930F3"/>
    <w:rsid w:val="000934DD"/>
    <w:rsid w:val="000935D8"/>
    <w:rsid w:val="00093849"/>
    <w:rsid w:val="00093B73"/>
    <w:rsid w:val="00093D83"/>
    <w:rsid w:val="000948FF"/>
    <w:rsid w:val="00094943"/>
    <w:rsid w:val="00094A61"/>
    <w:rsid w:val="000957C2"/>
    <w:rsid w:val="00095853"/>
    <w:rsid w:val="00095916"/>
    <w:rsid w:val="00095DBB"/>
    <w:rsid w:val="00095E59"/>
    <w:rsid w:val="00095E74"/>
    <w:rsid w:val="00095F2F"/>
    <w:rsid w:val="0009646D"/>
    <w:rsid w:val="000965F2"/>
    <w:rsid w:val="000966D9"/>
    <w:rsid w:val="000971EA"/>
    <w:rsid w:val="00097740"/>
    <w:rsid w:val="00097C05"/>
    <w:rsid w:val="000A014E"/>
    <w:rsid w:val="000A0807"/>
    <w:rsid w:val="000A0A8B"/>
    <w:rsid w:val="000A1392"/>
    <w:rsid w:val="000A1427"/>
    <w:rsid w:val="000A1539"/>
    <w:rsid w:val="000A16F6"/>
    <w:rsid w:val="000A1C49"/>
    <w:rsid w:val="000A1D3A"/>
    <w:rsid w:val="000A1EAA"/>
    <w:rsid w:val="000A25B0"/>
    <w:rsid w:val="000A3210"/>
    <w:rsid w:val="000A3487"/>
    <w:rsid w:val="000A34E2"/>
    <w:rsid w:val="000A3BFC"/>
    <w:rsid w:val="000A3D2F"/>
    <w:rsid w:val="000A4305"/>
    <w:rsid w:val="000A45C3"/>
    <w:rsid w:val="000A467B"/>
    <w:rsid w:val="000A4C79"/>
    <w:rsid w:val="000A4DB2"/>
    <w:rsid w:val="000A4FC3"/>
    <w:rsid w:val="000A50BA"/>
    <w:rsid w:val="000A539A"/>
    <w:rsid w:val="000A53C5"/>
    <w:rsid w:val="000A5913"/>
    <w:rsid w:val="000A62F5"/>
    <w:rsid w:val="000A67F5"/>
    <w:rsid w:val="000A6835"/>
    <w:rsid w:val="000A6B3A"/>
    <w:rsid w:val="000A6BAF"/>
    <w:rsid w:val="000A6C08"/>
    <w:rsid w:val="000A6F25"/>
    <w:rsid w:val="000A6F79"/>
    <w:rsid w:val="000A7415"/>
    <w:rsid w:val="000A75FD"/>
    <w:rsid w:val="000A7791"/>
    <w:rsid w:val="000A7A4A"/>
    <w:rsid w:val="000A7B8E"/>
    <w:rsid w:val="000A7CE7"/>
    <w:rsid w:val="000A7D89"/>
    <w:rsid w:val="000A7FD6"/>
    <w:rsid w:val="000B0030"/>
    <w:rsid w:val="000B005A"/>
    <w:rsid w:val="000B03E6"/>
    <w:rsid w:val="000B0528"/>
    <w:rsid w:val="000B0602"/>
    <w:rsid w:val="000B07D8"/>
    <w:rsid w:val="000B09FF"/>
    <w:rsid w:val="000B0BA6"/>
    <w:rsid w:val="000B0D2E"/>
    <w:rsid w:val="000B0F69"/>
    <w:rsid w:val="000B14B4"/>
    <w:rsid w:val="000B1714"/>
    <w:rsid w:val="000B1796"/>
    <w:rsid w:val="000B17B1"/>
    <w:rsid w:val="000B18AA"/>
    <w:rsid w:val="000B1D68"/>
    <w:rsid w:val="000B2024"/>
    <w:rsid w:val="000B2151"/>
    <w:rsid w:val="000B232F"/>
    <w:rsid w:val="000B24F5"/>
    <w:rsid w:val="000B2503"/>
    <w:rsid w:val="000B2B2E"/>
    <w:rsid w:val="000B2BE9"/>
    <w:rsid w:val="000B2C9C"/>
    <w:rsid w:val="000B2DDB"/>
    <w:rsid w:val="000B2F07"/>
    <w:rsid w:val="000B2FD6"/>
    <w:rsid w:val="000B314C"/>
    <w:rsid w:val="000B34B6"/>
    <w:rsid w:val="000B34F1"/>
    <w:rsid w:val="000B3565"/>
    <w:rsid w:val="000B374A"/>
    <w:rsid w:val="000B386E"/>
    <w:rsid w:val="000B3A01"/>
    <w:rsid w:val="000B3B14"/>
    <w:rsid w:val="000B3FF6"/>
    <w:rsid w:val="000B4124"/>
    <w:rsid w:val="000B4253"/>
    <w:rsid w:val="000B4577"/>
    <w:rsid w:val="000B4886"/>
    <w:rsid w:val="000B4A9C"/>
    <w:rsid w:val="000B4B4D"/>
    <w:rsid w:val="000B4CA5"/>
    <w:rsid w:val="000B54AA"/>
    <w:rsid w:val="000B56C0"/>
    <w:rsid w:val="000B5C49"/>
    <w:rsid w:val="000B6393"/>
    <w:rsid w:val="000B6AF3"/>
    <w:rsid w:val="000B6AFB"/>
    <w:rsid w:val="000B6B52"/>
    <w:rsid w:val="000B6C7D"/>
    <w:rsid w:val="000B6DC1"/>
    <w:rsid w:val="000B6FBF"/>
    <w:rsid w:val="000B7248"/>
    <w:rsid w:val="000B724D"/>
    <w:rsid w:val="000B75FC"/>
    <w:rsid w:val="000B760F"/>
    <w:rsid w:val="000B7636"/>
    <w:rsid w:val="000B7749"/>
    <w:rsid w:val="000B7781"/>
    <w:rsid w:val="000B7883"/>
    <w:rsid w:val="000B7AFF"/>
    <w:rsid w:val="000B7C6F"/>
    <w:rsid w:val="000B7CFC"/>
    <w:rsid w:val="000B7E49"/>
    <w:rsid w:val="000B7E62"/>
    <w:rsid w:val="000B7F8B"/>
    <w:rsid w:val="000C0144"/>
    <w:rsid w:val="000C014D"/>
    <w:rsid w:val="000C0253"/>
    <w:rsid w:val="000C0A01"/>
    <w:rsid w:val="000C0A3E"/>
    <w:rsid w:val="000C0E19"/>
    <w:rsid w:val="000C0E8C"/>
    <w:rsid w:val="000C101F"/>
    <w:rsid w:val="000C10C7"/>
    <w:rsid w:val="000C13D0"/>
    <w:rsid w:val="000C1625"/>
    <w:rsid w:val="000C1641"/>
    <w:rsid w:val="000C1F4E"/>
    <w:rsid w:val="000C1FCA"/>
    <w:rsid w:val="000C2326"/>
    <w:rsid w:val="000C2443"/>
    <w:rsid w:val="000C286D"/>
    <w:rsid w:val="000C2C22"/>
    <w:rsid w:val="000C2C8E"/>
    <w:rsid w:val="000C2D06"/>
    <w:rsid w:val="000C30B8"/>
    <w:rsid w:val="000C33E7"/>
    <w:rsid w:val="000C3F65"/>
    <w:rsid w:val="000C432D"/>
    <w:rsid w:val="000C4363"/>
    <w:rsid w:val="000C4786"/>
    <w:rsid w:val="000C4A0B"/>
    <w:rsid w:val="000C4BA2"/>
    <w:rsid w:val="000C4F32"/>
    <w:rsid w:val="000C5303"/>
    <w:rsid w:val="000C5421"/>
    <w:rsid w:val="000C561F"/>
    <w:rsid w:val="000C59A2"/>
    <w:rsid w:val="000C5A86"/>
    <w:rsid w:val="000C5DB9"/>
    <w:rsid w:val="000C619D"/>
    <w:rsid w:val="000C6286"/>
    <w:rsid w:val="000C640B"/>
    <w:rsid w:val="000C642F"/>
    <w:rsid w:val="000C6645"/>
    <w:rsid w:val="000C6869"/>
    <w:rsid w:val="000C688F"/>
    <w:rsid w:val="000C73F4"/>
    <w:rsid w:val="000C74F3"/>
    <w:rsid w:val="000C75C4"/>
    <w:rsid w:val="000C76CF"/>
    <w:rsid w:val="000C7885"/>
    <w:rsid w:val="000C7940"/>
    <w:rsid w:val="000C7A67"/>
    <w:rsid w:val="000C7B2F"/>
    <w:rsid w:val="000C7B90"/>
    <w:rsid w:val="000C7D0B"/>
    <w:rsid w:val="000C7D79"/>
    <w:rsid w:val="000C7EFD"/>
    <w:rsid w:val="000C7F85"/>
    <w:rsid w:val="000D0279"/>
    <w:rsid w:val="000D07B7"/>
    <w:rsid w:val="000D0B14"/>
    <w:rsid w:val="000D0BB4"/>
    <w:rsid w:val="000D0EE6"/>
    <w:rsid w:val="000D1692"/>
    <w:rsid w:val="000D19B6"/>
    <w:rsid w:val="000D1C7B"/>
    <w:rsid w:val="000D1CD2"/>
    <w:rsid w:val="000D1D4B"/>
    <w:rsid w:val="000D1E94"/>
    <w:rsid w:val="000D1FB6"/>
    <w:rsid w:val="000D1FF5"/>
    <w:rsid w:val="000D2222"/>
    <w:rsid w:val="000D24B0"/>
    <w:rsid w:val="000D2CD4"/>
    <w:rsid w:val="000D2F3B"/>
    <w:rsid w:val="000D2FEF"/>
    <w:rsid w:val="000D3339"/>
    <w:rsid w:val="000D341E"/>
    <w:rsid w:val="000D36AB"/>
    <w:rsid w:val="000D3788"/>
    <w:rsid w:val="000D3883"/>
    <w:rsid w:val="000D38F6"/>
    <w:rsid w:val="000D3CC6"/>
    <w:rsid w:val="000D43F7"/>
    <w:rsid w:val="000D459A"/>
    <w:rsid w:val="000D4A42"/>
    <w:rsid w:val="000D4CF9"/>
    <w:rsid w:val="000D50AC"/>
    <w:rsid w:val="000D5410"/>
    <w:rsid w:val="000D554A"/>
    <w:rsid w:val="000D57F5"/>
    <w:rsid w:val="000D57FB"/>
    <w:rsid w:val="000D5A52"/>
    <w:rsid w:val="000D5B8B"/>
    <w:rsid w:val="000D5C72"/>
    <w:rsid w:val="000D635C"/>
    <w:rsid w:val="000D649F"/>
    <w:rsid w:val="000D662E"/>
    <w:rsid w:val="000D6A5A"/>
    <w:rsid w:val="000D6C48"/>
    <w:rsid w:val="000D6FF0"/>
    <w:rsid w:val="000D7293"/>
    <w:rsid w:val="000D739B"/>
    <w:rsid w:val="000D7DD4"/>
    <w:rsid w:val="000D7E4E"/>
    <w:rsid w:val="000D7E96"/>
    <w:rsid w:val="000E010E"/>
    <w:rsid w:val="000E0126"/>
    <w:rsid w:val="000E027C"/>
    <w:rsid w:val="000E051D"/>
    <w:rsid w:val="000E060A"/>
    <w:rsid w:val="000E065C"/>
    <w:rsid w:val="000E0788"/>
    <w:rsid w:val="000E07F6"/>
    <w:rsid w:val="000E0857"/>
    <w:rsid w:val="000E0FB3"/>
    <w:rsid w:val="000E1076"/>
    <w:rsid w:val="000E12C1"/>
    <w:rsid w:val="000E17CF"/>
    <w:rsid w:val="000E19F3"/>
    <w:rsid w:val="000E1ABD"/>
    <w:rsid w:val="000E1E8D"/>
    <w:rsid w:val="000E1F6D"/>
    <w:rsid w:val="000E200A"/>
    <w:rsid w:val="000E217F"/>
    <w:rsid w:val="000E2BFA"/>
    <w:rsid w:val="000E2D60"/>
    <w:rsid w:val="000E2E4C"/>
    <w:rsid w:val="000E317C"/>
    <w:rsid w:val="000E3255"/>
    <w:rsid w:val="000E3474"/>
    <w:rsid w:val="000E366D"/>
    <w:rsid w:val="000E38EE"/>
    <w:rsid w:val="000E3907"/>
    <w:rsid w:val="000E3913"/>
    <w:rsid w:val="000E3B03"/>
    <w:rsid w:val="000E3B4A"/>
    <w:rsid w:val="000E463C"/>
    <w:rsid w:val="000E481D"/>
    <w:rsid w:val="000E49E0"/>
    <w:rsid w:val="000E4BB5"/>
    <w:rsid w:val="000E4E99"/>
    <w:rsid w:val="000E5004"/>
    <w:rsid w:val="000E50CC"/>
    <w:rsid w:val="000E51CF"/>
    <w:rsid w:val="000E553B"/>
    <w:rsid w:val="000E5777"/>
    <w:rsid w:val="000E620C"/>
    <w:rsid w:val="000E65DB"/>
    <w:rsid w:val="000E688D"/>
    <w:rsid w:val="000E68D4"/>
    <w:rsid w:val="000E6B24"/>
    <w:rsid w:val="000E7253"/>
    <w:rsid w:val="000E74C7"/>
    <w:rsid w:val="000E74CF"/>
    <w:rsid w:val="000E76C2"/>
    <w:rsid w:val="000E7808"/>
    <w:rsid w:val="000F096A"/>
    <w:rsid w:val="000F0A76"/>
    <w:rsid w:val="000F0AAA"/>
    <w:rsid w:val="000F0BAD"/>
    <w:rsid w:val="000F0D7A"/>
    <w:rsid w:val="000F12BB"/>
    <w:rsid w:val="000F14CB"/>
    <w:rsid w:val="000F14F6"/>
    <w:rsid w:val="000F1759"/>
    <w:rsid w:val="000F183F"/>
    <w:rsid w:val="000F1B6A"/>
    <w:rsid w:val="000F1C10"/>
    <w:rsid w:val="000F1E19"/>
    <w:rsid w:val="000F1FF3"/>
    <w:rsid w:val="000F22EC"/>
    <w:rsid w:val="000F2393"/>
    <w:rsid w:val="000F24C9"/>
    <w:rsid w:val="000F2BB1"/>
    <w:rsid w:val="000F2C96"/>
    <w:rsid w:val="000F2DC1"/>
    <w:rsid w:val="000F2EFF"/>
    <w:rsid w:val="000F2F61"/>
    <w:rsid w:val="000F372C"/>
    <w:rsid w:val="000F386E"/>
    <w:rsid w:val="000F388D"/>
    <w:rsid w:val="000F3B0C"/>
    <w:rsid w:val="000F3BCC"/>
    <w:rsid w:val="000F421A"/>
    <w:rsid w:val="000F43DC"/>
    <w:rsid w:val="000F4505"/>
    <w:rsid w:val="000F48EC"/>
    <w:rsid w:val="000F520B"/>
    <w:rsid w:val="000F549D"/>
    <w:rsid w:val="000F57B7"/>
    <w:rsid w:val="000F57E1"/>
    <w:rsid w:val="000F5824"/>
    <w:rsid w:val="000F5986"/>
    <w:rsid w:val="000F5C99"/>
    <w:rsid w:val="000F5FC0"/>
    <w:rsid w:val="000F603B"/>
    <w:rsid w:val="000F608F"/>
    <w:rsid w:val="000F6403"/>
    <w:rsid w:val="000F6555"/>
    <w:rsid w:val="000F669C"/>
    <w:rsid w:val="000F6732"/>
    <w:rsid w:val="000F67EA"/>
    <w:rsid w:val="000F6911"/>
    <w:rsid w:val="000F694F"/>
    <w:rsid w:val="000F6990"/>
    <w:rsid w:val="000F69AE"/>
    <w:rsid w:val="000F6AD5"/>
    <w:rsid w:val="000F6C7F"/>
    <w:rsid w:val="000F6F1B"/>
    <w:rsid w:val="000F74CA"/>
    <w:rsid w:val="000F7552"/>
    <w:rsid w:val="000F75F9"/>
    <w:rsid w:val="000F761E"/>
    <w:rsid w:val="000F78C4"/>
    <w:rsid w:val="000F7AB2"/>
    <w:rsid w:val="000F7D33"/>
    <w:rsid w:val="000F7D88"/>
    <w:rsid w:val="00100394"/>
    <w:rsid w:val="00100A59"/>
    <w:rsid w:val="00100E1B"/>
    <w:rsid w:val="00101107"/>
    <w:rsid w:val="00101708"/>
    <w:rsid w:val="0010176B"/>
    <w:rsid w:val="0010189B"/>
    <w:rsid w:val="00101D1F"/>
    <w:rsid w:val="00101E94"/>
    <w:rsid w:val="00102125"/>
    <w:rsid w:val="00102624"/>
    <w:rsid w:val="00102736"/>
    <w:rsid w:val="0010290F"/>
    <w:rsid w:val="00102C5B"/>
    <w:rsid w:val="001032E7"/>
    <w:rsid w:val="00103430"/>
    <w:rsid w:val="0010360D"/>
    <w:rsid w:val="001038E1"/>
    <w:rsid w:val="00103D25"/>
    <w:rsid w:val="00103F55"/>
    <w:rsid w:val="0010418C"/>
    <w:rsid w:val="00104281"/>
    <w:rsid w:val="001044B4"/>
    <w:rsid w:val="0010452E"/>
    <w:rsid w:val="0010475D"/>
    <w:rsid w:val="00104A9A"/>
    <w:rsid w:val="00104F0B"/>
    <w:rsid w:val="00104F76"/>
    <w:rsid w:val="00105025"/>
    <w:rsid w:val="001054FB"/>
    <w:rsid w:val="0010556F"/>
    <w:rsid w:val="001057DA"/>
    <w:rsid w:val="00105826"/>
    <w:rsid w:val="00105B19"/>
    <w:rsid w:val="00105DE1"/>
    <w:rsid w:val="00106154"/>
    <w:rsid w:val="001061F3"/>
    <w:rsid w:val="00106318"/>
    <w:rsid w:val="0010634A"/>
    <w:rsid w:val="0010640D"/>
    <w:rsid w:val="001066A9"/>
    <w:rsid w:val="001067CF"/>
    <w:rsid w:val="00107204"/>
    <w:rsid w:val="001072D5"/>
    <w:rsid w:val="001076CA"/>
    <w:rsid w:val="00107741"/>
    <w:rsid w:val="00107743"/>
    <w:rsid w:val="00107B7B"/>
    <w:rsid w:val="00107D29"/>
    <w:rsid w:val="001100A2"/>
    <w:rsid w:val="001101AE"/>
    <w:rsid w:val="0011032E"/>
    <w:rsid w:val="00110783"/>
    <w:rsid w:val="001107C3"/>
    <w:rsid w:val="001107E2"/>
    <w:rsid w:val="00110C46"/>
    <w:rsid w:val="00110E13"/>
    <w:rsid w:val="00111251"/>
    <w:rsid w:val="0011127B"/>
    <w:rsid w:val="00111348"/>
    <w:rsid w:val="001113EB"/>
    <w:rsid w:val="00111608"/>
    <w:rsid w:val="00111743"/>
    <w:rsid w:val="00111807"/>
    <w:rsid w:val="00111A17"/>
    <w:rsid w:val="00112A38"/>
    <w:rsid w:val="00112E0E"/>
    <w:rsid w:val="00112E36"/>
    <w:rsid w:val="00113139"/>
    <w:rsid w:val="00113A6F"/>
    <w:rsid w:val="00113A7B"/>
    <w:rsid w:val="00113AC0"/>
    <w:rsid w:val="00113BB0"/>
    <w:rsid w:val="00113BD7"/>
    <w:rsid w:val="00113C8F"/>
    <w:rsid w:val="00114016"/>
    <w:rsid w:val="001141F5"/>
    <w:rsid w:val="0011434E"/>
    <w:rsid w:val="00114525"/>
    <w:rsid w:val="00114694"/>
    <w:rsid w:val="0011474B"/>
    <w:rsid w:val="001148D7"/>
    <w:rsid w:val="00114992"/>
    <w:rsid w:val="00114E82"/>
    <w:rsid w:val="00114F5B"/>
    <w:rsid w:val="00114F8B"/>
    <w:rsid w:val="00115406"/>
    <w:rsid w:val="001155DA"/>
    <w:rsid w:val="001156DA"/>
    <w:rsid w:val="001156ED"/>
    <w:rsid w:val="001157C1"/>
    <w:rsid w:val="00115880"/>
    <w:rsid w:val="00115E8E"/>
    <w:rsid w:val="00116041"/>
    <w:rsid w:val="001165A1"/>
    <w:rsid w:val="00116712"/>
    <w:rsid w:val="00116778"/>
    <w:rsid w:val="00116A72"/>
    <w:rsid w:val="00116F3E"/>
    <w:rsid w:val="001176DD"/>
    <w:rsid w:val="00117B71"/>
    <w:rsid w:val="00117D21"/>
    <w:rsid w:val="001201E0"/>
    <w:rsid w:val="00120321"/>
    <w:rsid w:val="00120603"/>
    <w:rsid w:val="0012066F"/>
    <w:rsid w:val="001208A2"/>
    <w:rsid w:val="001209EF"/>
    <w:rsid w:val="00120B59"/>
    <w:rsid w:val="00120BF5"/>
    <w:rsid w:val="0012116C"/>
    <w:rsid w:val="001211BA"/>
    <w:rsid w:val="0012179B"/>
    <w:rsid w:val="001218D1"/>
    <w:rsid w:val="00121C99"/>
    <w:rsid w:val="00121ED0"/>
    <w:rsid w:val="0012200B"/>
    <w:rsid w:val="00122732"/>
    <w:rsid w:val="001227AF"/>
    <w:rsid w:val="001228BC"/>
    <w:rsid w:val="00122C4C"/>
    <w:rsid w:val="00123350"/>
    <w:rsid w:val="001236E4"/>
    <w:rsid w:val="00123713"/>
    <w:rsid w:val="0012382E"/>
    <w:rsid w:val="00123C1C"/>
    <w:rsid w:val="00123EEB"/>
    <w:rsid w:val="00123F13"/>
    <w:rsid w:val="00123FD7"/>
    <w:rsid w:val="001245B2"/>
    <w:rsid w:val="00124C66"/>
    <w:rsid w:val="00124F65"/>
    <w:rsid w:val="00125048"/>
    <w:rsid w:val="00125463"/>
    <w:rsid w:val="001254DC"/>
    <w:rsid w:val="001254DD"/>
    <w:rsid w:val="00125908"/>
    <w:rsid w:val="00125B96"/>
    <w:rsid w:val="00125D2D"/>
    <w:rsid w:val="00125E0A"/>
    <w:rsid w:val="001269AD"/>
    <w:rsid w:val="00126D6D"/>
    <w:rsid w:val="00126EF1"/>
    <w:rsid w:val="00126F3D"/>
    <w:rsid w:val="0012713F"/>
    <w:rsid w:val="00127235"/>
    <w:rsid w:val="00127478"/>
    <w:rsid w:val="001276F4"/>
    <w:rsid w:val="00127987"/>
    <w:rsid w:val="001279B9"/>
    <w:rsid w:val="00127BCC"/>
    <w:rsid w:val="00127C7D"/>
    <w:rsid w:val="001301EB"/>
    <w:rsid w:val="00130394"/>
    <w:rsid w:val="00130404"/>
    <w:rsid w:val="00130747"/>
    <w:rsid w:val="0013095E"/>
    <w:rsid w:val="00130A6D"/>
    <w:rsid w:val="00130CCE"/>
    <w:rsid w:val="00130DB7"/>
    <w:rsid w:val="0013128F"/>
    <w:rsid w:val="0013199B"/>
    <w:rsid w:val="00131EA2"/>
    <w:rsid w:val="0013239F"/>
    <w:rsid w:val="0013247D"/>
    <w:rsid w:val="001327A9"/>
    <w:rsid w:val="00132B66"/>
    <w:rsid w:val="00132B8E"/>
    <w:rsid w:val="00132BFD"/>
    <w:rsid w:val="00132D57"/>
    <w:rsid w:val="00132F1F"/>
    <w:rsid w:val="001330A6"/>
    <w:rsid w:val="0013314F"/>
    <w:rsid w:val="001332A4"/>
    <w:rsid w:val="00133306"/>
    <w:rsid w:val="0013343A"/>
    <w:rsid w:val="00133987"/>
    <w:rsid w:val="00133E73"/>
    <w:rsid w:val="00133F9D"/>
    <w:rsid w:val="0013483D"/>
    <w:rsid w:val="001349F3"/>
    <w:rsid w:val="00134C3A"/>
    <w:rsid w:val="0013517F"/>
    <w:rsid w:val="0013562E"/>
    <w:rsid w:val="0013582B"/>
    <w:rsid w:val="00135DE8"/>
    <w:rsid w:val="001361CB"/>
    <w:rsid w:val="001361E5"/>
    <w:rsid w:val="0013633F"/>
    <w:rsid w:val="001364C6"/>
    <w:rsid w:val="001366DA"/>
    <w:rsid w:val="0013677B"/>
    <w:rsid w:val="0013685C"/>
    <w:rsid w:val="00136B1C"/>
    <w:rsid w:val="00136BE3"/>
    <w:rsid w:val="00137000"/>
    <w:rsid w:val="00137676"/>
    <w:rsid w:val="00137744"/>
    <w:rsid w:val="00140139"/>
    <w:rsid w:val="00140173"/>
    <w:rsid w:val="001403B8"/>
    <w:rsid w:val="001403D2"/>
    <w:rsid w:val="00140D76"/>
    <w:rsid w:val="00141728"/>
    <w:rsid w:val="00141948"/>
    <w:rsid w:val="00141D6F"/>
    <w:rsid w:val="00141EE1"/>
    <w:rsid w:val="00141F14"/>
    <w:rsid w:val="001421AA"/>
    <w:rsid w:val="001421FA"/>
    <w:rsid w:val="00142237"/>
    <w:rsid w:val="001424F7"/>
    <w:rsid w:val="001427EC"/>
    <w:rsid w:val="00142DCD"/>
    <w:rsid w:val="00142F35"/>
    <w:rsid w:val="001433F3"/>
    <w:rsid w:val="001434E4"/>
    <w:rsid w:val="00143BE6"/>
    <w:rsid w:val="00143DD2"/>
    <w:rsid w:val="00143EEB"/>
    <w:rsid w:val="00143F13"/>
    <w:rsid w:val="001445F0"/>
    <w:rsid w:val="001446CA"/>
    <w:rsid w:val="001447B3"/>
    <w:rsid w:val="00144CAA"/>
    <w:rsid w:val="00144D6B"/>
    <w:rsid w:val="00145484"/>
    <w:rsid w:val="00145CF8"/>
    <w:rsid w:val="00146074"/>
    <w:rsid w:val="00146096"/>
    <w:rsid w:val="0014614C"/>
    <w:rsid w:val="001461EF"/>
    <w:rsid w:val="001469B5"/>
    <w:rsid w:val="00146A50"/>
    <w:rsid w:val="00146E79"/>
    <w:rsid w:val="00147390"/>
    <w:rsid w:val="00147D7D"/>
    <w:rsid w:val="00147F42"/>
    <w:rsid w:val="00147F83"/>
    <w:rsid w:val="00147F9A"/>
    <w:rsid w:val="00150129"/>
    <w:rsid w:val="001503C6"/>
    <w:rsid w:val="00150579"/>
    <w:rsid w:val="0015067B"/>
    <w:rsid w:val="0015073B"/>
    <w:rsid w:val="00150C17"/>
    <w:rsid w:val="00150F9D"/>
    <w:rsid w:val="001512A7"/>
    <w:rsid w:val="00151614"/>
    <w:rsid w:val="001518FF"/>
    <w:rsid w:val="00151A41"/>
    <w:rsid w:val="00151AEB"/>
    <w:rsid w:val="00151AF0"/>
    <w:rsid w:val="001520D4"/>
    <w:rsid w:val="001521D8"/>
    <w:rsid w:val="001526B0"/>
    <w:rsid w:val="00152946"/>
    <w:rsid w:val="00152FFA"/>
    <w:rsid w:val="00153108"/>
    <w:rsid w:val="00153110"/>
    <w:rsid w:val="00153124"/>
    <w:rsid w:val="00153367"/>
    <w:rsid w:val="00153402"/>
    <w:rsid w:val="00153C54"/>
    <w:rsid w:val="00153ED6"/>
    <w:rsid w:val="00153F47"/>
    <w:rsid w:val="0015422F"/>
    <w:rsid w:val="001547D4"/>
    <w:rsid w:val="0015498E"/>
    <w:rsid w:val="001549DE"/>
    <w:rsid w:val="00154C7A"/>
    <w:rsid w:val="00154D8F"/>
    <w:rsid w:val="00155202"/>
    <w:rsid w:val="001552D1"/>
    <w:rsid w:val="0015566B"/>
    <w:rsid w:val="001559E5"/>
    <w:rsid w:val="00155F2F"/>
    <w:rsid w:val="001561C4"/>
    <w:rsid w:val="001561C8"/>
    <w:rsid w:val="0015699C"/>
    <w:rsid w:val="00156F72"/>
    <w:rsid w:val="0015729A"/>
    <w:rsid w:val="001572CE"/>
    <w:rsid w:val="0015748D"/>
    <w:rsid w:val="001579BA"/>
    <w:rsid w:val="00157B44"/>
    <w:rsid w:val="00157DA5"/>
    <w:rsid w:val="001600F1"/>
    <w:rsid w:val="0016018E"/>
    <w:rsid w:val="001601F9"/>
    <w:rsid w:val="0016025B"/>
    <w:rsid w:val="001602C4"/>
    <w:rsid w:val="00160463"/>
    <w:rsid w:val="001606D3"/>
    <w:rsid w:val="00160703"/>
    <w:rsid w:val="00160E80"/>
    <w:rsid w:val="00160FBF"/>
    <w:rsid w:val="00161685"/>
    <w:rsid w:val="00161992"/>
    <w:rsid w:val="00161BA0"/>
    <w:rsid w:val="0016226F"/>
    <w:rsid w:val="00162713"/>
    <w:rsid w:val="0016292E"/>
    <w:rsid w:val="00162BEB"/>
    <w:rsid w:val="00163368"/>
    <w:rsid w:val="0016342D"/>
    <w:rsid w:val="00163454"/>
    <w:rsid w:val="00163534"/>
    <w:rsid w:val="001637DE"/>
    <w:rsid w:val="0016386D"/>
    <w:rsid w:val="00163BE5"/>
    <w:rsid w:val="00164131"/>
    <w:rsid w:val="001644CB"/>
    <w:rsid w:val="001649CA"/>
    <w:rsid w:val="00164C17"/>
    <w:rsid w:val="00164D74"/>
    <w:rsid w:val="00164E70"/>
    <w:rsid w:val="0016531B"/>
    <w:rsid w:val="00165846"/>
    <w:rsid w:val="00165A6B"/>
    <w:rsid w:val="00165C90"/>
    <w:rsid w:val="00165E22"/>
    <w:rsid w:val="00166307"/>
    <w:rsid w:val="001665A5"/>
    <w:rsid w:val="0016669E"/>
    <w:rsid w:val="00166797"/>
    <w:rsid w:val="00166B97"/>
    <w:rsid w:val="00166CDB"/>
    <w:rsid w:val="001670B4"/>
    <w:rsid w:val="00167414"/>
    <w:rsid w:val="001674C9"/>
    <w:rsid w:val="001674FD"/>
    <w:rsid w:val="001677AF"/>
    <w:rsid w:val="00167C27"/>
    <w:rsid w:val="001701F6"/>
    <w:rsid w:val="0017030C"/>
    <w:rsid w:val="0017058D"/>
    <w:rsid w:val="001708D2"/>
    <w:rsid w:val="00170CA2"/>
    <w:rsid w:val="00170E69"/>
    <w:rsid w:val="001710D8"/>
    <w:rsid w:val="001711DE"/>
    <w:rsid w:val="00171285"/>
    <w:rsid w:val="0017191A"/>
    <w:rsid w:val="00171D79"/>
    <w:rsid w:val="00171EA8"/>
    <w:rsid w:val="00171FB8"/>
    <w:rsid w:val="0017252B"/>
    <w:rsid w:val="001726F5"/>
    <w:rsid w:val="00172767"/>
    <w:rsid w:val="001728AF"/>
    <w:rsid w:val="00172DCA"/>
    <w:rsid w:val="001731A7"/>
    <w:rsid w:val="001731AC"/>
    <w:rsid w:val="001737E6"/>
    <w:rsid w:val="0017398F"/>
    <w:rsid w:val="00173C45"/>
    <w:rsid w:val="00173E0E"/>
    <w:rsid w:val="001742A1"/>
    <w:rsid w:val="00174414"/>
    <w:rsid w:val="00174BB3"/>
    <w:rsid w:val="00175252"/>
    <w:rsid w:val="00175364"/>
    <w:rsid w:val="00175435"/>
    <w:rsid w:val="001755EE"/>
    <w:rsid w:val="00175741"/>
    <w:rsid w:val="00175781"/>
    <w:rsid w:val="00175820"/>
    <w:rsid w:val="001759D7"/>
    <w:rsid w:val="00175A2C"/>
    <w:rsid w:val="00175A63"/>
    <w:rsid w:val="00175B8A"/>
    <w:rsid w:val="00175BF4"/>
    <w:rsid w:val="00175C4F"/>
    <w:rsid w:val="00176113"/>
    <w:rsid w:val="00176187"/>
    <w:rsid w:val="0017631B"/>
    <w:rsid w:val="00176325"/>
    <w:rsid w:val="0017638C"/>
    <w:rsid w:val="0017667B"/>
    <w:rsid w:val="0017667E"/>
    <w:rsid w:val="001767BB"/>
    <w:rsid w:val="0017696A"/>
    <w:rsid w:val="00176A52"/>
    <w:rsid w:val="0017701D"/>
    <w:rsid w:val="00177195"/>
    <w:rsid w:val="00177348"/>
    <w:rsid w:val="00177705"/>
    <w:rsid w:val="00177A68"/>
    <w:rsid w:val="00177B4C"/>
    <w:rsid w:val="00177B66"/>
    <w:rsid w:val="00177CED"/>
    <w:rsid w:val="0018007E"/>
    <w:rsid w:val="00180172"/>
    <w:rsid w:val="001809E0"/>
    <w:rsid w:val="00180B24"/>
    <w:rsid w:val="00180D6C"/>
    <w:rsid w:val="00180D7C"/>
    <w:rsid w:val="00180DBC"/>
    <w:rsid w:val="0018155E"/>
    <w:rsid w:val="00181634"/>
    <w:rsid w:val="001816B9"/>
    <w:rsid w:val="001816BF"/>
    <w:rsid w:val="00181725"/>
    <w:rsid w:val="00181F7B"/>
    <w:rsid w:val="001821DF"/>
    <w:rsid w:val="00182348"/>
    <w:rsid w:val="001825DF"/>
    <w:rsid w:val="0018268B"/>
    <w:rsid w:val="0018271F"/>
    <w:rsid w:val="00182933"/>
    <w:rsid w:val="00182B78"/>
    <w:rsid w:val="00183029"/>
    <w:rsid w:val="001831B7"/>
    <w:rsid w:val="00183377"/>
    <w:rsid w:val="001836DB"/>
    <w:rsid w:val="00183B87"/>
    <w:rsid w:val="00183C96"/>
    <w:rsid w:val="00183E36"/>
    <w:rsid w:val="0018441E"/>
    <w:rsid w:val="0018446C"/>
    <w:rsid w:val="00184489"/>
    <w:rsid w:val="0018451A"/>
    <w:rsid w:val="00184720"/>
    <w:rsid w:val="00184802"/>
    <w:rsid w:val="00184F2F"/>
    <w:rsid w:val="00185069"/>
    <w:rsid w:val="001850CC"/>
    <w:rsid w:val="00185284"/>
    <w:rsid w:val="001852C6"/>
    <w:rsid w:val="0018546F"/>
    <w:rsid w:val="00185B29"/>
    <w:rsid w:val="00185B7E"/>
    <w:rsid w:val="001864EC"/>
    <w:rsid w:val="0018691A"/>
    <w:rsid w:val="00186975"/>
    <w:rsid w:val="00186D93"/>
    <w:rsid w:val="0018758C"/>
    <w:rsid w:val="001875B1"/>
    <w:rsid w:val="00187639"/>
    <w:rsid w:val="00187ADE"/>
    <w:rsid w:val="00187E56"/>
    <w:rsid w:val="00190231"/>
    <w:rsid w:val="00190883"/>
    <w:rsid w:val="00190A92"/>
    <w:rsid w:val="00190CA3"/>
    <w:rsid w:val="00190D34"/>
    <w:rsid w:val="00191412"/>
    <w:rsid w:val="00191617"/>
    <w:rsid w:val="00191A25"/>
    <w:rsid w:val="00191A6B"/>
    <w:rsid w:val="00191BAB"/>
    <w:rsid w:val="00191BB4"/>
    <w:rsid w:val="00191DB0"/>
    <w:rsid w:val="00192373"/>
    <w:rsid w:val="00192394"/>
    <w:rsid w:val="001924DF"/>
    <w:rsid w:val="00192540"/>
    <w:rsid w:val="0019292E"/>
    <w:rsid w:val="00192BE2"/>
    <w:rsid w:val="00192BFE"/>
    <w:rsid w:val="00193405"/>
    <w:rsid w:val="00193621"/>
    <w:rsid w:val="0019439E"/>
    <w:rsid w:val="00194677"/>
    <w:rsid w:val="001947DC"/>
    <w:rsid w:val="001948ED"/>
    <w:rsid w:val="00194A00"/>
    <w:rsid w:val="00194A8A"/>
    <w:rsid w:val="00194B28"/>
    <w:rsid w:val="00194D83"/>
    <w:rsid w:val="001953AF"/>
    <w:rsid w:val="00195716"/>
    <w:rsid w:val="00195756"/>
    <w:rsid w:val="00195824"/>
    <w:rsid w:val="00195894"/>
    <w:rsid w:val="00195EFE"/>
    <w:rsid w:val="00195F00"/>
    <w:rsid w:val="00195FA0"/>
    <w:rsid w:val="00195FDD"/>
    <w:rsid w:val="001960DD"/>
    <w:rsid w:val="00196649"/>
    <w:rsid w:val="0019686D"/>
    <w:rsid w:val="0019695B"/>
    <w:rsid w:val="001969E5"/>
    <w:rsid w:val="00196A87"/>
    <w:rsid w:val="00196ABE"/>
    <w:rsid w:val="00196B69"/>
    <w:rsid w:val="00196E9F"/>
    <w:rsid w:val="00196F94"/>
    <w:rsid w:val="00197238"/>
    <w:rsid w:val="001973D2"/>
    <w:rsid w:val="001973E5"/>
    <w:rsid w:val="00197D09"/>
    <w:rsid w:val="001A0024"/>
    <w:rsid w:val="001A006D"/>
    <w:rsid w:val="001A01AD"/>
    <w:rsid w:val="001A064C"/>
    <w:rsid w:val="001A06DF"/>
    <w:rsid w:val="001A0CCC"/>
    <w:rsid w:val="001A0D58"/>
    <w:rsid w:val="001A1320"/>
    <w:rsid w:val="001A1641"/>
    <w:rsid w:val="001A1693"/>
    <w:rsid w:val="001A19E7"/>
    <w:rsid w:val="001A1A14"/>
    <w:rsid w:val="001A1D8A"/>
    <w:rsid w:val="001A203E"/>
    <w:rsid w:val="001A21AF"/>
    <w:rsid w:val="001A243C"/>
    <w:rsid w:val="001A24AF"/>
    <w:rsid w:val="001A257D"/>
    <w:rsid w:val="001A2968"/>
    <w:rsid w:val="001A2AF1"/>
    <w:rsid w:val="001A2C02"/>
    <w:rsid w:val="001A2C57"/>
    <w:rsid w:val="001A2D48"/>
    <w:rsid w:val="001A2D7B"/>
    <w:rsid w:val="001A3173"/>
    <w:rsid w:val="001A33D6"/>
    <w:rsid w:val="001A3454"/>
    <w:rsid w:val="001A363C"/>
    <w:rsid w:val="001A3C15"/>
    <w:rsid w:val="001A3C48"/>
    <w:rsid w:val="001A3F89"/>
    <w:rsid w:val="001A4088"/>
    <w:rsid w:val="001A424A"/>
    <w:rsid w:val="001A4511"/>
    <w:rsid w:val="001A4780"/>
    <w:rsid w:val="001A4F74"/>
    <w:rsid w:val="001A534F"/>
    <w:rsid w:val="001A563A"/>
    <w:rsid w:val="001A5926"/>
    <w:rsid w:val="001A5EE9"/>
    <w:rsid w:val="001A61AE"/>
    <w:rsid w:val="001A629F"/>
    <w:rsid w:val="001A6511"/>
    <w:rsid w:val="001A6B10"/>
    <w:rsid w:val="001A6D5C"/>
    <w:rsid w:val="001A70D0"/>
    <w:rsid w:val="001A735E"/>
    <w:rsid w:val="001A764C"/>
    <w:rsid w:val="001A7A5B"/>
    <w:rsid w:val="001A7F82"/>
    <w:rsid w:val="001B010E"/>
    <w:rsid w:val="001B037B"/>
    <w:rsid w:val="001B042B"/>
    <w:rsid w:val="001B05A9"/>
    <w:rsid w:val="001B0972"/>
    <w:rsid w:val="001B09BA"/>
    <w:rsid w:val="001B0A59"/>
    <w:rsid w:val="001B0CF6"/>
    <w:rsid w:val="001B0DF5"/>
    <w:rsid w:val="001B106F"/>
    <w:rsid w:val="001B1113"/>
    <w:rsid w:val="001B14BF"/>
    <w:rsid w:val="001B157A"/>
    <w:rsid w:val="001B1B80"/>
    <w:rsid w:val="001B1E83"/>
    <w:rsid w:val="001B1FC2"/>
    <w:rsid w:val="001B1FE9"/>
    <w:rsid w:val="001B226E"/>
    <w:rsid w:val="001B2588"/>
    <w:rsid w:val="001B2591"/>
    <w:rsid w:val="001B267E"/>
    <w:rsid w:val="001B29C5"/>
    <w:rsid w:val="001B2B2D"/>
    <w:rsid w:val="001B2BB3"/>
    <w:rsid w:val="001B2C24"/>
    <w:rsid w:val="001B2C6D"/>
    <w:rsid w:val="001B2CC6"/>
    <w:rsid w:val="001B2DF9"/>
    <w:rsid w:val="001B2E3E"/>
    <w:rsid w:val="001B32CB"/>
    <w:rsid w:val="001B33B0"/>
    <w:rsid w:val="001B362D"/>
    <w:rsid w:val="001B36AA"/>
    <w:rsid w:val="001B375F"/>
    <w:rsid w:val="001B3C98"/>
    <w:rsid w:val="001B41EF"/>
    <w:rsid w:val="001B44E1"/>
    <w:rsid w:val="001B4627"/>
    <w:rsid w:val="001B4803"/>
    <w:rsid w:val="001B49F3"/>
    <w:rsid w:val="001B4B47"/>
    <w:rsid w:val="001B4C86"/>
    <w:rsid w:val="001B4FB2"/>
    <w:rsid w:val="001B5013"/>
    <w:rsid w:val="001B50EF"/>
    <w:rsid w:val="001B51CB"/>
    <w:rsid w:val="001B55B9"/>
    <w:rsid w:val="001B5840"/>
    <w:rsid w:val="001B5C33"/>
    <w:rsid w:val="001B5DB0"/>
    <w:rsid w:val="001B687E"/>
    <w:rsid w:val="001B6CDA"/>
    <w:rsid w:val="001B6DF7"/>
    <w:rsid w:val="001B6F39"/>
    <w:rsid w:val="001B73D9"/>
    <w:rsid w:val="001B77E6"/>
    <w:rsid w:val="001B7A8D"/>
    <w:rsid w:val="001B7B04"/>
    <w:rsid w:val="001B7D04"/>
    <w:rsid w:val="001B7DC2"/>
    <w:rsid w:val="001B7EC0"/>
    <w:rsid w:val="001C0243"/>
    <w:rsid w:val="001C059D"/>
    <w:rsid w:val="001C05E5"/>
    <w:rsid w:val="001C0743"/>
    <w:rsid w:val="001C0836"/>
    <w:rsid w:val="001C0E6F"/>
    <w:rsid w:val="001C0F2E"/>
    <w:rsid w:val="001C124B"/>
    <w:rsid w:val="001C14F9"/>
    <w:rsid w:val="001C1704"/>
    <w:rsid w:val="001C1A8D"/>
    <w:rsid w:val="001C1BC3"/>
    <w:rsid w:val="001C1D5C"/>
    <w:rsid w:val="001C1E1B"/>
    <w:rsid w:val="001C2027"/>
    <w:rsid w:val="001C239B"/>
    <w:rsid w:val="001C27A1"/>
    <w:rsid w:val="001C280B"/>
    <w:rsid w:val="001C299F"/>
    <w:rsid w:val="001C2FBB"/>
    <w:rsid w:val="001C3229"/>
    <w:rsid w:val="001C329E"/>
    <w:rsid w:val="001C3652"/>
    <w:rsid w:val="001C3D77"/>
    <w:rsid w:val="001C4402"/>
    <w:rsid w:val="001C445C"/>
    <w:rsid w:val="001C44DA"/>
    <w:rsid w:val="001C4E1F"/>
    <w:rsid w:val="001C50BC"/>
    <w:rsid w:val="001C53C5"/>
    <w:rsid w:val="001C569A"/>
    <w:rsid w:val="001C590E"/>
    <w:rsid w:val="001C59B3"/>
    <w:rsid w:val="001C5B37"/>
    <w:rsid w:val="001C5E65"/>
    <w:rsid w:val="001C5F20"/>
    <w:rsid w:val="001C5FFB"/>
    <w:rsid w:val="001C61E8"/>
    <w:rsid w:val="001C6265"/>
    <w:rsid w:val="001C631F"/>
    <w:rsid w:val="001C6391"/>
    <w:rsid w:val="001C6533"/>
    <w:rsid w:val="001C6F64"/>
    <w:rsid w:val="001C7291"/>
    <w:rsid w:val="001C74DD"/>
    <w:rsid w:val="001C784D"/>
    <w:rsid w:val="001C7957"/>
    <w:rsid w:val="001C7B8A"/>
    <w:rsid w:val="001D0001"/>
    <w:rsid w:val="001D0177"/>
    <w:rsid w:val="001D03CC"/>
    <w:rsid w:val="001D0B08"/>
    <w:rsid w:val="001D0EC9"/>
    <w:rsid w:val="001D0EEB"/>
    <w:rsid w:val="001D1275"/>
    <w:rsid w:val="001D15D7"/>
    <w:rsid w:val="001D1938"/>
    <w:rsid w:val="001D19E1"/>
    <w:rsid w:val="001D1A35"/>
    <w:rsid w:val="001D207A"/>
    <w:rsid w:val="001D227A"/>
    <w:rsid w:val="001D2630"/>
    <w:rsid w:val="001D264B"/>
    <w:rsid w:val="001D26E3"/>
    <w:rsid w:val="001D2B09"/>
    <w:rsid w:val="001D2D10"/>
    <w:rsid w:val="001D2FBD"/>
    <w:rsid w:val="001D2FE5"/>
    <w:rsid w:val="001D33CA"/>
    <w:rsid w:val="001D34B0"/>
    <w:rsid w:val="001D35B2"/>
    <w:rsid w:val="001D360E"/>
    <w:rsid w:val="001D3719"/>
    <w:rsid w:val="001D3B0D"/>
    <w:rsid w:val="001D3E68"/>
    <w:rsid w:val="001D3E8C"/>
    <w:rsid w:val="001D41E0"/>
    <w:rsid w:val="001D4335"/>
    <w:rsid w:val="001D436C"/>
    <w:rsid w:val="001D4482"/>
    <w:rsid w:val="001D46E3"/>
    <w:rsid w:val="001D4705"/>
    <w:rsid w:val="001D49F6"/>
    <w:rsid w:val="001D4EA1"/>
    <w:rsid w:val="001D50CE"/>
    <w:rsid w:val="001D5145"/>
    <w:rsid w:val="001D5248"/>
    <w:rsid w:val="001D5491"/>
    <w:rsid w:val="001D552B"/>
    <w:rsid w:val="001D5691"/>
    <w:rsid w:val="001D5A11"/>
    <w:rsid w:val="001D6140"/>
    <w:rsid w:val="001D6636"/>
    <w:rsid w:val="001D67BB"/>
    <w:rsid w:val="001D6A65"/>
    <w:rsid w:val="001D6CC9"/>
    <w:rsid w:val="001D6D9E"/>
    <w:rsid w:val="001D6F60"/>
    <w:rsid w:val="001D7027"/>
    <w:rsid w:val="001D70C5"/>
    <w:rsid w:val="001D727C"/>
    <w:rsid w:val="001D74DA"/>
    <w:rsid w:val="001D7546"/>
    <w:rsid w:val="001D7927"/>
    <w:rsid w:val="001D7DD9"/>
    <w:rsid w:val="001D7FBA"/>
    <w:rsid w:val="001E0196"/>
    <w:rsid w:val="001E01FB"/>
    <w:rsid w:val="001E036A"/>
    <w:rsid w:val="001E051C"/>
    <w:rsid w:val="001E061D"/>
    <w:rsid w:val="001E0D67"/>
    <w:rsid w:val="001E1056"/>
    <w:rsid w:val="001E128E"/>
    <w:rsid w:val="001E1786"/>
    <w:rsid w:val="001E17AA"/>
    <w:rsid w:val="001E18C4"/>
    <w:rsid w:val="001E1A4E"/>
    <w:rsid w:val="001E1C5C"/>
    <w:rsid w:val="001E1CB3"/>
    <w:rsid w:val="001E1F1F"/>
    <w:rsid w:val="001E23CD"/>
    <w:rsid w:val="001E2613"/>
    <w:rsid w:val="001E29B1"/>
    <w:rsid w:val="001E2AF9"/>
    <w:rsid w:val="001E2D9E"/>
    <w:rsid w:val="001E2F25"/>
    <w:rsid w:val="001E32CB"/>
    <w:rsid w:val="001E3365"/>
    <w:rsid w:val="001E3479"/>
    <w:rsid w:val="001E42E3"/>
    <w:rsid w:val="001E458C"/>
    <w:rsid w:val="001E46A8"/>
    <w:rsid w:val="001E4868"/>
    <w:rsid w:val="001E492A"/>
    <w:rsid w:val="001E4BAC"/>
    <w:rsid w:val="001E4FFE"/>
    <w:rsid w:val="001E51D1"/>
    <w:rsid w:val="001E53C0"/>
    <w:rsid w:val="001E555D"/>
    <w:rsid w:val="001E5617"/>
    <w:rsid w:val="001E5656"/>
    <w:rsid w:val="001E5815"/>
    <w:rsid w:val="001E59F9"/>
    <w:rsid w:val="001E5A00"/>
    <w:rsid w:val="001E5B17"/>
    <w:rsid w:val="001E5C54"/>
    <w:rsid w:val="001E5F05"/>
    <w:rsid w:val="001E6112"/>
    <w:rsid w:val="001E616A"/>
    <w:rsid w:val="001E658A"/>
    <w:rsid w:val="001E6805"/>
    <w:rsid w:val="001E6899"/>
    <w:rsid w:val="001E70CC"/>
    <w:rsid w:val="001E72A2"/>
    <w:rsid w:val="001E74AC"/>
    <w:rsid w:val="001E74E5"/>
    <w:rsid w:val="001E74F2"/>
    <w:rsid w:val="001E753F"/>
    <w:rsid w:val="001E7A8F"/>
    <w:rsid w:val="001E7B79"/>
    <w:rsid w:val="001E7F1A"/>
    <w:rsid w:val="001E7FCC"/>
    <w:rsid w:val="001E7FD5"/>
    <w:rsid w:val="001F0473"/>
    <w:rsid w:val="001F062B"/>
    <w:rsid w:val="001F074D"/>
    <w:rsid w:val="001F0A25"/>
    <w:rsid w:val="001F0B42"/>
    <w:rsid w:val="001F130B"/>
    <w:rsid w:val="001F16A3"/>
    <w:rsid w:val="001F18FF"/>
    <w:rsid w:val="001F1E2E"/>
    <w:rsid w:val="001F210E"/>
    <w:rsid w:val="001F2142"/>
    <w:rsid w:val="001F2151"/>
    <w:rsid w:val="001F253B"/>
    <w:rsid w:val="001F2BD4"/>
    <w:rsid w:val="001F2C35"/>
    <w:rsid w:val="001F2CC9"/>
    <w:rsid w:val="001F2D27"/>
    <w:rsid w:val="001F3016"/>
    <w:rsid w:val="001F314F"/>
    <w:rsid w:val="001F31C1"/>
    <w:rsid w:val="001F31FE"/>
    <w:rsid w:val="001F32B6"/>
    <w:rsid w:val="001F34A8"/>
    <w:rsid w:val="001F3C0C"/>
    <w:rsid w:val="001F41C5"/>
    <w:rsid w:val="001F4381"/>
    <w:rsid w:val="001F4A00"/>
    <w:rsid w:val="001F4A20"/>
    <w:rsid w:val="001F4A4E"/>
    <w:rsid w:val="001F4B6F"/>
    <w:rsid w:val="001F4BD1"/>
    <w:rsid w:val="001F4D6E"/>
    <w:rsid w:val="001F4F51"/>
    <w:rsid w:val="001F50A7"/>
    <w:rsid w:val="001F51A0"/>
    <w:rsid w:val="001F52C6"/>
    <w:rsid w:val="001F558F"/>
    <w:rsid w:val="001F5683"/>
    <w:rsid w:val="001F593F"/>
    <w:rsid w:val="001F5A77"/>
    <w:rsid w:val="001F5AE5"/>
    <w:rsid w:val="001F5CC6"/>
    <w:rsid w:val="001F6225"/>
    <w:rsid w:val="001F63FC"/>
    <w:rsid w:val="001F6511"/>
    <w:rsid w:val="001F6586"/>
    <w:rsid w:val="001F676E"/>
    <w:rsid w:val="001F6B83"/>
    <w:rsid w:val="001F6D16"/>
    <w:rsid w:val="001F6D33"/>
    <w:rsid w:val="001F6E08"/>
    <w:rsid w:val="001F6FAE"/>
    <w:rsid w:val="001F7003"/>
    <w:rsid w:val="001F72CF"/>
    <w:rsid w:val="001F745B"/>
    <w:rsid w:val="001F779F"/>
    <w:rsid w:val="001F7944"/>
    <w:rsid w:val="001F7FED"/>
    <w:rsid w:val="00200222"/>
    <w:rsid w:val="002003B6"/>
    <w:rsid w:val="002003E2"/>
    <w:rsid w:val="002009C4"/>
    <w:rsid w:val="00200A40"/>
    <w:rsid w:val="0020105C"/>
    <w:rsid w:val="002016FF"/>
    <w:rsid w:val="00201E46"/>
    <w:rsid w:val="00201E51"/>
    <w:rsid w:val="002020D7"/>
    <w:rsid w:val="002021B2"/>
    <w:rsid w:val="002022B9"/>
    <w:rsid w:val="00202395"/>
    <w:rsid w:val="00202587"/>
    <w:rsid w:val="002025AF"/>
    <w:rsid w:val="00202842"/>
    <w:rsid w:val="0020291E"/>
    <w:rsid w:val="00202BC3"/>
    <w:rsid w:val="00202BD7"/>
    <w:rsid w:val="00202BF9"/>
    <w:rsid w:val="00202C51"/>
    <w:rsid w:val="00203594"/>
    <w:rsid w:val="00203751"/>
    <w:rsid w:val="00203815"/>
    <w:rsid w:val="002038F1"/>
    <w:rsid w:val="00203911"/>
    <w:rsid w:val="0020395A"/>
    <w:rsid w:val="00203AD9"/>
    <w:rsid w:val="00203F7C"/>
    <w:rsid w:val="00204479"/>
    <w:rsid w:val="00204C00"/>
    <w:rsid w:val="00204EE1"/>
    <w:rsid w:val="00205030"/>
    <w:rsid w:val="0020543A"/>
    <w:rsid w:val="00205861"/>
    <w:rsid w:val="00205E17"/>
    <w:rsid w:val="00206100"/>
    <w:rsid w:val="00206154"/>
    <w:rsid w:val="0020636E"/>
    <w:rsid w:val="00206423"/>
    <w:rsid w:val="00206512"/>
    <w:rsid w:val="002067F0"/>
    <w:rsid w:val="00206AF1"/>
    <w:rsid w:val="00206B6D"/>
    <w:rsid w:val="00206BBF"/>
    <w:rsid w:val="00207011"/>
    <w:rsid w:val="002071DE"/>
    <w:rsid w:val="002072CF"/>
    <w:rsid w:val="002073B3"/>
    <w:rsid w:val="002079E7"/>
    <w:rsid w:val="00207A84"/>
    <w:rsid w:val="00207B00"/>
    <w:rsid w:val="0021002D"/>
    <w:rsid w:val="002100C8"/>
    <w:rsid w:val="0021036D"/>
    <w:rsid w:val="0021084A"/>
    <w:rsid w:val="00210CBE"/>
    <w:rsid w:val="00210DAD"/>
    <w:rsid w:val="0021106D"/>
    <w:rsid w:val="002111C4"/>
    <w:rsid w:val="0021150A"/>
    <w:rsid w:val="0021151A"/>
    <w:rsid w:val="0021156E"/>
    <w:rsid w:val="00211689"/>
    <w:rsid w:val="00211765"/>
    <w:rsid w:val="002117BB"/>
    <w:rsid w:val="002118A8"/>
    <w:rsid w:val="00211DB4"/>
    <w:rsid w:val="002120C8"/>
    <w:rsid w:val="00212179"/>
    <w:rsid w:val="0021264F"/>
    <w:rsid w:val="0021288D"/>
    <w:rsid w:val="00212937"/>
    <w:rsid w:val="00212A64"/>
    <w:rsid w:val="00212FEA"/>
    <w:rsid w:val="002130A6"/>
    <w:rsid w:val="00213324"/>
    <w:rsid w:val="0021362D"/>
    <w:rsid w:val="002136E7"/>
    <w:rsid w:val="00213752"/>
    <w:rsid w:val="002139D7"/>
    <w:rsid w:val="002140C7"/>
    <w:rsid w:val="0021424D"/>
    <w:rsid w:val="002147BD"/>
    <w:rsid w:val="0021488D"/>
    <w:rsid w:val="00214FE9"/>
    <w:rsid w:val="0021509D"/>
    <w:rsid w:val="0021566D"/>
    <w:rsid w:val="00215723"/>
    <w:rsid w:val="0021607D"/>
    <w:rsid w:val="0021623A"/>
    <w:rsid w:val="00216359"/>
    <w:rsid w:val="0021667E"/>
    <w:rsid w:val="00216C18"/>
    <w:rsid w:val="0021705E"/>
    <w:rsid w:val="002170E3"/>
    <w:rsid w:val="0021724C"/>
    <w:rsid w:val="00217597"/>
    <w:rsid w:val="0021776E"/>
    <w:rsid w:val="00217862"/>
    <w:rsid w:val="00217A5B"/>
    <w:rsid w:val="00217CBF"/>
    <w:rsid w:val="00217DD1"/>
    <w:rsid w:val="00217F06"/>
    <w:rsid w:val="00220352"/>
    <w:rsid w:val="002206DB"/>
    <w:rsid w:val="002207C4"/>
    <w:rsid w:val="00220947"/>
    <w:rsid w:val="002209B1"/>
    <w:rsid w:val="002209F7"/>
    <w:rsid w:val="0022108D"/>
    <w:rsid w:val="00221799"/>
    <w:rsid w:val="0022182D"/>
    <w:rsid w:val="00221D32"/>
    <w:rsid w:val="00221F3B"/>
    <w:rsid w:val="0022220B"/>
    <w:rsid w:val="002224FA"/>
    <w:rsid w:val="00222558"/>
    <w:rsid w:val="0022258F"/>
    <w:rsid w:val="00222C12"/>
    <w:rsid w:val="00222D31"/>
    <w:rsid w:val="00222F12"/>
    <w:rsid w:val="002231FE"/>
    <w:rsid w:val="00223539"/>
    <w:rsid w:val="0022377A"/>
    <w:rsid w:val="00223DCF"/>
    <w:rsid w:val="00223E29"/>
    <w:rsid w:val="00223EC0"/>
    <w:rsid w:val="00223ED4"/>
    <w:rsid w:val="00224272"/>
    <w:rsid w:val="002242EC"/>
    <w:rsid w:val="002245EA"/>
    <w:rsid w:val="00224859"/>
    <w:rsid w:val="00224B15"/>
    <w:rsid w:val="00225013"/>
    <w:rsid w:val="00225149"/>
    <w:rsid w:val="0022514A"/>
    <w:rsid w:val="002252AE"/>
    <w:rsid w:val="00225787"/>
    <w:rsid w:val="00225996"/>
    <w:rsid w:val="00225A12"/>
    <w:rsid w:val="00225B71"/>
    <w:rsid w:val="00225F2F"/>
    <w:rsid w:val="002261B3"/>
    <w:rsid w:val="00226216"/>
    <w:rsid w:val="0022692D"/>
    <w:rsid w:val="0022695D"/>
    <w:rsid w:val="00226B2F"/>
    <w:rsid w:val="00226EEC"/>
    <w:rsid w:val="00226FE9"/>
    <w:rsid w:val="00227338"/>
    <w:rsid w:val="00227390"/>
    <w:rsid w:val="002274A4"/>
    <w:rsid w:val="00227557"/>
    <w:rsid w:val="00227C30"/>
    <w:rsid w:val="00227C51"/>
    <w:rsid w:val="00227E59"/>
    <w:rsid w:val="0023019D"/>
    <w:rsid w:val="00230281"/>
    <w:rsid w:val="002305DC"/>
    <w:rsid w:val="00230687"/>
    <w:rsid w:val="00230B9C"/>
    <w:rsid w:val="00230D74"/>
    <w:rsid w:val="0023110E"/>
    <w:rsid w:val="002312B5"/>
    <w:rsid w:val="002318B6"/>
    <w:rsid w:val="002319DC"/>
    <w:rsid w:val="00231C8C"/>
    <w:rsid w:val="00231F32"/>
    <w:rsid w:val="00232416"/>
    <w:rsid w:val="00232848"/>
    <w:rsid w:val="00232C24"/>
    <w:rsid w:val="00232C26"/>
    <w:rsid w:val="00233311"/>
    <w:rsid w:val="002335ED"/>
    <w:rsid w:val="0023386C"/>
    <w:rsid w:val="00233C08"/>
    <w:rsid w:val="00233CEF"/>
    <w:rsid w:val="00233EB8"/>
    <w:rsid w:val="00233FD0"/>
    <w:rsid w:val="00234162"/>
    <w:rsid w:val="00234B05"/>
    <w:rsid w:val="00234CB3"/>
    <w:rsid w:val="002350E2"/>
    <w:rsid w:val="002352B0"/>
    <w:rsid w:val="002354E4"/>
    <w:rsid w:val="002355A4"/>
    <w:rsid w:val="002359D4"/>
    <w:rsid w:val="00235A12"/>
    <w:rsid w:val="00235B02"/>
    <w:rsid w:val="00235D6E"/>
    <w:rsid w:val="00235DB9"/>
    <w:rsid w:val="002360B2"/>
    <w:rsid w:val="0023634D"/>
    <w:rsid w:val="00236836"/>
    <w:rsid w:val="00236865"/>
    <w:rsid w:val="0023687B"/>
    <w:rsid w:val="002369F0"/>
    <w:rsid w:val="00236D8E"/>
    <w:rsid w:val="00236E8A"/>
    <w:rsid w:val="002375B9"/>
    <w:rsid w:val="002378A8"/>
    <w:rsid w:val="00237A18"/>
    <w:rsid w:val="00237A5B"/>
    <w:rsid w:val="00237A6F"/>
    <w:rsid w:val="00237E14"/>
    <w:rsid w:val="00240368"/>
    <w:rsid w:val="00240493"/>
    <w:rsid w:val="00240666"/>
    <w:rsid w:val="00240798"/>
    <w:rsid w:val="00240860"/>
    <w:rsid w:val="00240AB7"/>
    <w:rsid w:val="00240F2D"/>
    <w:rsid w:val="00240FB7"/>
    <w:rsid w:val="002410CF"/>
    <w:rsid w:val="002411BB"/>
    <w:rsid w:val="00241750"/>
    <w:rsid w:val="0024206E"/>
    <w:rsid w:val="002422DD"/>
    <w:rsid w:val="00242368"/>
    <w:rsid w:val="0024242D"/>
    <w:rsid w:val="00242581"/>
    <w:rsid w:val="002427DF"/>
    <w:rsid w:val="002431BE"/>
    <w:rsid w:val="00243370"/>
    <w:rsid w:val="002434E9"/>
    <w:rsid w:val="00243636"/>
    <w:rsid w:val="00243942"/>
    <w:rsid w:val="00243A0D"/>
    <w:rsid w:val="00243A8F"/>
    <w:rsid w:val="00243C05"/>
    <w:rsid w:val="00243ED7"/>
    <w:rsid w:val="00244249"/>
    <w:rsid w:val="00244251"/>
    <w:rsid w:val="002446B0"/>
    <w:rsid w:val="00244726"/>
    <w:rsid w:val="00244A55"/>
    <w:rsid w:val="00244CBC"/>
    <w:rsid w:val="00245584"/>
    <w:rsid w:val="00245871"/>
    <w:rsid w:val="00245A82"/>
    <w:rsid w:val="00245BF0"/>
    <w:rsid w:val="00245BF1"/>
    <w:rsid w:val="00245C70"/>
    <w:rsid w:val="00245CC8"/>
    <w:rsid w:val="002464E8"/>
    <w:rsid w:val="0024674A"/>
    <w:rsid w:val="002469B1"/>
    <w:rsid w:val="00246E1E"/>
    <w:rsid w:val="00246F48"/>
    <w:rsid w:val="00246F61"/>
    <w:rsid w:val="00246FBA"/>
    <w:rsid w:val="00247058"/>
    <w:rsid w:val="0024710C"/>
    <w:rsid w:val="002472C5"/>
    <w:rsid w:val="0024731A"/>
    <w:rsid w:val="00247B2E"/>
    <w:rsid w:val="00247B57"/>
    <w:rsid w:val="00247DA9"/>
    <w:rsid w:val="00250781"/>
    <w:rsid w:val="00250785"/>
    <w:rsid w:val="002509AC"/>
    <w:rsid w:val="00250A63"/>
    <w:rsid w:val="00250E0F"/>
    <w:rsid w:val="00250E19"/>
    <w:rsid w:val="00250F22"/>
    <w:rsid w:val="0025147E"/>
    <w:rsid w:val="00251623"/>
    <w:rsid w:val="002517D6"/>
    <w:rsid w:val="00251CC0"/>
    <w:rsid w:val="00251CFF"/>
    <w:rsid w:val="002521B0"/>
    <w:rsid w:val="0025255E"/>
    <w:rsid w:val="00252911"/>
    <w:rsid w:val="002529DD"/>
    <w:rsid w:val="00252B4A"/>
    <w:rsid w:val="00252CBB"/>
    <w:rsid w:val="00252FEE"/>
    <w:rsid w:val="002532DC"/>
    <w:rsid w:val="0025333D"/>
    <w:rsid w:val="002534F5"/>
    <w:rsid w:val="00253776"/>
    <w:rsid w:val="00253942"/>
    <w:rsid w:val="00253A3F"/>
    <w:rsid w:val="00253DD0"/>
    <w:rsid w:val="002545F2"/>
    <w:rsid w:val="0025472C"/>
    <w:rsid w:val="0025474E"/>
    <w:rsid w:val="00254908"/>
    <w:rsid w:val="00254BE6"/>
    <w:rsid w:val="00254D3A"/>
    <w:rsid w:val="00254E66"/>
    <w:rsid w:val="00254F4C"/>
    <w:rsid w:val="002551B0"/>
    <w:rsid w:val="00255417"/>
    <w:rsid w:val="002555F5"/>
    <w:rsid w:val="00255E0B"/>
    <w:rsid w:val="0025640C"/>
    <w:rsid w:val="00256617"/>
    <w:rsid w:val="002569C0"/>
    <w:rsid w:val="00256BEB"/>
    <w:rsid w:val="00256C69"/>
    <w:rsid w:val="002571A3"/>
    <w:rsid w:val="00257258"/>
    <w:rsid w:val="00257428"/>
    <w:rsid w:val="0025755C"/>
    <w:rsid w:val="00257989"/>
    <w:rsid w:val="00257990"/>
    <w:rsid w:val="00257B32"/>
    <w:rsid w:val="00257D25"/>
    <w:rsid w:val="002600B9"/>
    <w:rsid w:val="00260517"/>
    <w:rsid w:val="002606AD"/>
    <w:rsid w:val="00260B3D"/>
    <w:rsid w:val="00260CAA"/>
    <w:rsid w:val="00260F5E"/>
    <w:rsid w:val="0026109F"/>
    <w:rsid w:val="00261153"/>
    <w:rsid w:val="002613D5"/>
    <w:rsid w:val="0026167B"/>
    <w:rsid w:val="002617D9"/>
    <w:rsid w:val="00262446"/>
    <w:rsid w:val="002628D3"/>
    <w:rsid w:val="00262AC0"/>
    <w:rsid w:val="00262DC2"/>
    <w:rsid w:val="00262DF2"/>
    <w:rsid w:val="00262FED"/>
    <w:rsid w:val="00263D6D"/>
    <w:rsid w:val="00263E97"/>
    <w:rsid w:val="00264538"/>
    <w:rsid w:val="00264650"/>
    <w:rsid w:val="00264674"/>
    <w:rsid w:val="00264F88"/>
    <w:rsid w:val="0026505B"/>
    <w:rsid w:val="00265230"/>
    <w:rsid w:val="002653CF"/>
    <w:rsid w:val="00265763"/>
    <w:rsid w:val="00265AF5"/>
    <w:rsid w:val="00265B7D"/>
    <w:rsid w:val="00265C54"/>
    <w:rsid w:val="00266002"/>
    <w:rsid w:val="00266147"/>
    <w:rsid w:val="002661C2"/>
    <w:rsid w:val="002669B5"/>
    <w:rsid w:val="002669D3"/>
    <w:rsid w:val="00266FF7"/>
    <w:rsid w:val="00267328"/>
    <w:rsid w:val="00267494"/>
    <w:rsid w:val="0026753A"/>
    <w:rsid w:val="00267913"/>
    <w:rsid w:val="002679B7"/>
    <w:rsid w:val="002679C9"/>
    <w:rsid w:val="00267ABA"/>
    <w:rsid w:val="00267AC2"/>
    <w:rsid w:val="00267BCC"/>
    <w:rsid w:val="0027049C"/>
    <w:rsid w:val="0027052D"/>
    <w:rsid w:val="00270770"/>
    <w:rsid w:val="0027098E"/>
    <w:rsid w:val="00270A91"/>
    <w:rsid w:val="00270DE7"/>
    <w:rsid w:val="00270F62"/>
    <w:rsid w:val="00270FF8"/>
    <w:rsid w:val="00271094"/>
    <w:rsid w:val="002711BC"/>
    <w:rsid w:val="002711CC"/>
    <w:rsid w:val="0027123B"/>
    <w:rsid w:val="002713FD"/>
    <w:rsid w:val="0027152A"/>
    <w:rsid w:val="002716CA"/>
    <w:rsid w:val="00271AA6"/>
    <w:rsid w:val="0027243F"/>
    <w:rsid w:val="0027258A"/>
    <w:rsid w:val="00272599"/>
    <w:rsid w:val="0027289E"/>
    <w:rsid w:val="00272B66"/>
    <w:rsid w:val="00272C51"/>
    <w:rsid w:val="00272D1E"/>
    <w:rsid w:val="00272DB9"/>
    <w:rsid w:val="00272E75"/>
    <w:rsid w:val="002730B7"/>
    <w:rsid w:val="002730B8"/>
    <w:rsid w:val="0027390D"/>
    <w:rsid w:val="00273A3D"/>
    <w:rsid w:val="00273C32"/>
    <w:rsid w:val="00273E1B"/>
    <w:rsid w:val="00273F0D"/>
    <w:rsid w:val="00273FB2"/>
    <w:rsid w:val="00274161"/>
    <w:rsid w:val="0027450E"/>
    <w:rsid w:val="0027460F"/>
    <w:rsid w:val="00274899"/>
    <w:rsid w:val="00274915"/>
    <w:rsid w:val="00274963"/>
    <w:rsid w:val="002749F0"/>
    <w:rsid w:val="00274B67"/>
    <w:rsid w:val="00274E8F"/>
    <w:rsid w:val="00275394"/>
    <w:rsid w:val="002756B3"/>
    <w:rsid w:val="0027587C"/>
    <w:rsid w:val="00276074"/>
    <w:rsid w:val="0027617D"/>
    <w:rsid w:val="002761DF"/>
    <w:rsid w:val="0027637E"/>
    <w:rsid w:val="002768C1"/>
    <w:rsid w:val="00276F8A"/>
    <w:rsid w:val="0027706B"/>
    <w:rsid w:val="00277261"/>
    <w:rsid w:val="002772D7"/>
    <w:rsid w:val="002776A2"/>
    <w:rsid w:val="00277749"/>
    <w:rsid w:val="002778F9"/>
    <w:rsid w:val="00277BDA"/>
    <w:rsid w:val="00277D22"/>
    <w:rsid w:val="00280030"/>
    <w:rsid w:val="0028028E"/>
    <w:rsid w:val="00280492"/>
    <w:rsid w:val="002804D5"/>
    <w:rsid w:val="0028063C"/>
    <w:rsid w:val="002809D2"/>
    <w:rsid w:val="00280D40"/>
    <w:rsid w:val="0028106D"/>
    <w:rsid w:val="00281158"/>
    <w:rsid w:val="00281562"/>
    <w:rsid w:val="002817CE"/>
    <w:rsid w:val="0028195C"/>
    <w:rsid w:val="00281DB8"/>
    <w:rsid w:val="00281DE3"/>
    <w:rsid w:val="00281DEC"/>
    <w:rsid w:val="00281F20"/>
    <w:rsid w:val="0028203F"/>
    <w:rsid w:val="0028242B"/>
    <w:rsid w:val="002824EB"/>
    <w:rsid w:val="00282589"/>
    <w:rsid w:val="00282BEF"/>
    <w:rsid w:val="00282CC3"/>
    <w:rsid w:val="002838F1"/>
    <w:rsid w:val="00283A88"/>
    <w:rsid w:val="00283A89"/>
    <w:rsid w:val="00283AA6"/>
    <w:rsid w:val="00284139"/>
    <w:rsid w:val="0028432C"/>
    <w:rsid w:val="0028444E"/>
    <w:rsid w:val="00284A6A"/>
    <w:rsid w:val="00284E46"/>
    <w:rsid w:val="002856EF"/>
    <w:rsid w:val="0028573E"/>
    <w:rsid w:val="002857E2"/>
    <w:rsid w:val="002858D7"/>
    <w:rsid w:val="00285CA9"/>
    <w:rsid w:val="00285CCF"/>
    <w:rsid w:val="00285D61"/>
    <w:rsid w:val="002860A4"/>
    <w:rsid w:val="00286491"/>
    <w:rsid w:val="00286753"/>
    <w:rsid w:val="002870A9"/>
    <w:rsid w:val="002874DA"/>
    <w:rsid w:val="0028756C"/>
    <w:rsid w:val="002876F0"/>
    <w:rsid w:val="0028787A"/>
    <w:rsid w:val="00287C11"/>
    <w:rsid w:val="00287C5F"/>
    <w:rsid w:val="00287D01"/>
    <w:rsid w:val="00287EBF"/>
    <w:rsid w:val="00290041"/>
    <w:rsid w:val="00290ABD"/>
    <w:rsid w:val="00290E69"/>
    <w:rsid w:val="00291119"/>
    <w:rsid w:val="002912ED"/>
    <w:rsid w:val="00291719"/>
    <w:rsid w:val="0029191B"/>
    <w:rsid w:val="00291935"/>
    <w:rsid w:val="00291952"/>
    <w:rsid w:val="00291D68"/>
    <w:rsid w:val="002920ED"/>
    <w:rsid w:val="002921BA"/>
    <w:rsid w:val="00292248"/>
    <w:rsid w:val="002922A5"/>
    <w:rsid w:val="00292393"/>
    <w:rsid w:val="002923EF"/>
    <w:rsid w:val="002924C5"/>
    <w:rsid w:val="002925AC"/>
    <w:rsid w:val="002926DA"/>
    <w:rsid w:val="002927A7"/>
    <w:rsid w:val="0029285D"/>
    <w:rsid w:val="00292D06"/>
    <w:rsid w:val="00292DAB"/>
    <w:rsid w:val="00293092"/>
    <w:rsid w:val="0029328D"/>
    <w:rsid w:val="00293550"/>
    <w:rsid w:val="00293562"/>
    <w:rsid w:val="002936FD"/>
    <w:rsid w:val="0029378E"/>
    <w:rsid w:val="00293E05"/>
    <w:rsid w:val="00294433"/>
    <w:rsid w:val="002953C4"/>
    <w:rsid w:val="002955DB"/>
    <w:rsid w:val="002956D3"/>
    <w:rsid w:val="00295826"/>
    <w:rsid w:val="00295B7D"/>
    <w:rsid w:val="00295C5F"/>
    <w:rsid w:val="00295FA3"/>
    <w:rsid w:val="002978CA"/>
    <w:rsid w:val="00297AF4"/>
    <w:rsid w:val="00297D37"/>
    <w:rsid w:val="00297D3A"/>
    <w:rsid w:val="00297F4C"/>
    <w:rsid w:val="00297F5A"/>
    <w:rsid w:val="002A0156"/>
    <w:rsid w:val="002A01EE"/>
    <w:rsid w:val="002A06CD"/>
    <w:rsid w:val="002A0B4A"/>
    <w:rsid w:val="002A0D89"/>
    <w:rsid w:val="002A0E77"/>
    <w:rsid w:val="002A102F"/>
    <w:rsid w:val="002A116C"/>
    <w:rsid w:val="002A1307"/>
    <w:rsid w:val="002A1C73"/>
    <w:rsid w:val="002A28A7"/>
    <w:rsid w:val="002A2B58"/>
    <w:rsid w:val="002A2E63"/>
    <w:rsid w:val="002A2EA6"/>
    <w:rsid w:val="002A2FF6"/>
    <w:rsid w:val="002A3235"/>
    <w:rsid w:val="002A34C1"/>
    <w:rsid w:val="002A3680"/>
    <w:rsid w:val="002A375F"/>
    <w:rsid w:val="002A3A2C"/>
    <w:rsid w:val="002A4154"/>
    <w:rsid w:val="002A4834"/>
    <w:rsid w:val="002A4C9E"/>
    <w:rsid w:val="002A4D05"/>
    <w:rsid w:val="002A5153"/>
    <w:rsid w:val="002A52F7"/>
    <w:rsid w:val="002A5359"/>
    <w:rsid w:val="002A5509"/>
    <w:rsid w:val="002A5788"/>
    <w:rsid w:val="002A59C4"/>
    <w:rsid w:val="002A5B4A"/>
    <w:rsid w:val="002A5C43"/>
    <w:rsid w:val="002A5CCE"/>
    <w:rsid w:val="002A5F98"/>
    <w:rsid w:val="002A6167"/>
    <w:rsid w:val="002A67E9"/>
    <w:rsid w:val="002A6B0E"/>
    <w:rsid w:val="002A6B5B"/>
    <w:rsid w:val="002A6F16"/>
    <w:rsid w:val="002A6FA1"/>
    <w:rsid w:val="002A7089"/>
    <w:rsid w:val="002A729E"/>
    <w:rsid w:val="002A7499"/>
    <w:rsid w:val="002A7758"/>
    <w:rsid w:val="002A77D0"/>
    <w:rsid w:val="002A7CB3"/>
    <w:rsid w:val="002A7E88"/>
    <w:rsid w:val="002A7FB5"/>
    <w:rsid w:val="002B069A"/>
    <w:rsid w:val="002B0707"/>
    <w:rsid w:val="002B09FC"/>
    <w:rsid w:val="002B0A83"/>
    <w:rsid w:val="002B0DA0"/>
    <w:rsid w:val="002B198E"/>
    <w:rsid w:val="002B1EA9"/>
    <w:rsid w:val="002B1EF6"/>
    <w:rsid w:val="002B2111"/>
    <w:rsid w:val="002B213D"/>
    <w:rsid w:val="002B217E"/>
    <w:rsid w:val="002B2335"/>
    <w:rsid w:val="002B23DB"/>
    <w:rsid w:val="002B262D"/>
    <w:rsid w:val="002B2940"/>
    <w:rsid w:val="002B2A68"/>
    <w:rsid w:val="002B2AE0"/>
    <w:rsid w:val="002B35F2"/>
    <w:rsid w:val="002B3FD6"/>
    <w:rsid w:val="002B436C"/>
    <w:rsid w:val="002B43F4"/>
    <w:rsid w:val="002B43F7"/>
    <w:rsid w:val="002B4EE4"/>
    <w:rsid w:val="002B5092"/>
    <w:rsid w:val="002B5406"/>
    <w:rsid w:val="002B5B25"/>
    <w:rsid w:val="002B5E1B"/>
    <w:rsid w:val="002B6125"/>
    <w:rsid w:val="002B613D"/>
    <w:rsid w:val="002B64F8"/>
    <w:rsid w:val="002B6561"/>
    <w:rsid w:val="002B66C0"/>
    <w:rsid w:val="002B6944"/>
    <w:rsid w:val="002B6D78"/>
    <w:rsid w:val="002B72B9"/>
    <w:rsid w:val="002B76DB"/>
    <w:rsid w:val="002B76E7"/>
    <w:rsid w:val="002B7E5A"/>
    <w:rsid w:val="002C056F"/>
    <w:rsid w:val="002C05CE"/>
    <w:rsid w:val="002C087F"/>
    <w:rsid w:val="002C0926"/>
    <w:rsid w:val="002C0A10"/>
    <w:rsid w:val="002C0D02"/>
    <w:rsid w:val="002C1156"/>
    <w:rsid w:val="002C14A6"/>
    <w:rsid w:val="002C14F0"/>
    <w:rsid w:val="002C181B"/>
    <w:rsid w:val="002C1A96"/>
    <w:rsid w:val="002C23C8"/>
    <w:rsid w:val="002C259C"/>
    <w:rsid w:val="002C265C"/>
    <w:rsid w:val="002C2840"/>
    <w:rsid w:val="002C285B"/>
    <w:rsid w:val="002C2AB4"/>
    <w:rsid w:val="002C326C"/>
    <w:rsid w:val="002C3645"/>
    <w:rsid w:val="002C3760"/>
    <w:rsid w:val="002C37CF"/>
    <w:rsid w:val="002C397C"/>
    <w:rsid w:val="002C3DAB"/>
    <w:rsid w:val="002C3F02"/>
    <w:rsid w:val="002C4160"/>
    <w:rsid w:val="002C4332"/>
    <w:rsid w:val="002C4B6C"/>
    <w:rsid w:val="002C4E88"/>
    <w:rsid w:val="002C4ED2"/>
    <w:rsid w:val="002C4FEB"/>
    <w:rsid w:val="002C5626"/>
    <w:rsid w:val="002C57E5"/>
    <w:rsid w:val="002C5901"/>
    <w:rsid w:val="002C5AC9"/>
    <w:rsid w:val="002C62BD"/>
    <w:rsid w:val="002C6969"/>
    <w:rsid w:val="002C71D7"/>
    <w:rsid w:val="002C74DD"/>
    <w:rsid w:val="002C7618"/>
    <w:rsid w:val="002C7704"/>
    <w:rsid w:val="002C79E2"/>
    <w:rsid w:val="002C7F13"/>
    <w:rsid w:val="002C7F92"/>
    <w:rsid w:val="002D0AD6"/>
    <w:rsid w:val="002D1006"/>
    <w:rsid w:val="002D1305"/>
    <w:rsid w:val="002D1528"/>
    <w:rsid w:val="002D1C74"/>
    <w:rsid w:val="002D1D28"/>
    <w:rsid w:val="002D206A"/>
    <w:rsid w:val="002D21A2"/>
    <w:rsid w:val="002D2422"/>
    <w:rsid w:val="002D2658"/>
    <w:rsid w:val="002D2863"/>
    <w:rsid w:val="002D2866"/>
    <w:rsid w:val="002D28D8"/>
    <w:rsid w:val="002D2A01"/>
    <w:rsid w:val="002D2C94"/>
    <w:rsid w:val="002D2F15"/>
    <w:rsid w:val="002D327A"/>
    <w:rsid w:val="002D358E"/>
    <w:rsid w:val="002D3732"/>
    <w:rsid w:val="002D38EC"/>
    <w:rsid w:val="002D3C08"/>
    <w:rsid w:val="002D3E37"/>
    <w:rsid w:val="002D3E7A"/>
    <w:rsid w:val="002D3F09"/>
    <w:rsid w:val="002D4076"/>
    <w:rsid w:val="002D4123"/>
    <w:rsid w:val="002D44A4"/>
    <w:rsid w:val="002D4728"/>
    <w:rsid w:val="002D4E13"/>
    <w:rsid w:val="002D540A"/>
    <w:rsid w:val="002D54D5"/>
    <w:rsid w:val="002D5C48"/>
    <w:rsid w:val="002D5CAC"/>
    <w:rsid w:val="002D5F6F"/>
    <w:rsid w:val="002D64D7"/>
    <w:rsid w:val="002D65B3"/>
    <w:rsid w:val="002D6813"/>
    <w:rsid w:val="002D6C8D"/>
    <w:rsid w:val="002D6CFE"/>
    <w:rsid w:val="002D6FFF"/>
    <w:rsid w:val="002D70C9"/>
    <w:rsid w:val="002D7277"/>
    <w:rsid w:val="002D746E"/>
    <w:rsid w:val="002D74F9"/>
    <w:rsid w:val="002D76D1"/>
    <w:rsid w:val="002D7861"/>
    <w:rsid w:val="002D7CFC"/>
    <w:rsid w:val="002D7D6B"/>
    <w:rsid w:val="002D7EAA"/>
    <w:rsid w:val="002E0353"/>
    <w:rsid w:val="002E03A8"/>
    <w:rsid w:val="002E082E"/>
    <w:rsid w:val="002E0BA8"/>
    <w:rsid w:val="002E0CC6"/>
    <w:rsid w:val="002E0EC8"/>
    <w:rsid w:val="002E1807"/>
    <w:rsid w:val="002E1A2C"/>
    <w:rsid w:val="002E20B2"/>
    <w:rsid w:val="002E223F"/>
    <w:rsid w:val="002E2247"/>
    <w:rsid w:val="002E2479"/>
    <w:rsid w:val="002E27D8"/>
    <w:rsid w:val="002E2CA5"/>
    <w:rsid w:val="002E2F56"/>
    <w:rsid w:val="002E3340"/>
    <w:rsid w:val="002E34F8"/>
    <w:rsid w:val="002E36CB"/>
    <w:rsid w:val="002E3767"/>
    <w:rsid w:val="002E3801"/>
    <w:rsid w:val="002E38E0"/>
    <w:rsid w:val="002E3B37"/>
    <w:rsid w:val="002E3D0E"/>
    <w:rsid w:val="002E3D67"/>
    <w:rsid w:val="002E3E2B"/>
    <w:rsid w:val="002E45E6"/>
    <w:rsid w:val="002E4679"/>
    <w:rsid w:val="002E47B6"/>
    <w:rsid w:val="002E49CA"/>
    <w:rsid w:val="002E4E11"/>
    <w:rsid w:val="002E4E3C"/>
    <w:rsid w:val="002E4E8A"/>
    <w:rsid w:val="002E51D3"/>
    <w:rsid w:val="002E51EA"/>
    <w:rsid w:val="002E523F"/>
    <w:rsid w:val="002E5558"/>
    <w:rsid w:val="002E55E8"/>
    <w:rsid w:val="002E564D"/>
    <w:rsid w:val="002E57A6"/>
    <w:rsid w:val="002E5901"/>
    <w:rsid w:val="002E59A7"/>
    <w:rsid w:val="002E5C6D"/>
    <w:rsid w:val="002E5E04"/>
    <w:rsid w:val="002E61CD"/>
    <w:rsid w:val="002E646F"/>
    <w:rsid w:val="002E69F0"/>
    <w:rsid w:val="002E7272"/>
    <w:rsid w:val="002E7290"/>
    <w:rsid w:val="002E72A5"/>
    <w:rsid w:val="002E735F"/>
    <w:rsid w:val="002E7572"/>
    <w:rsid w:val="002E76EF"/>
    <w:rsid w:val="002E775D"/>
    <w:rsid w:val="002F028F"/>
    <w:rsid w:val="002F03F4"/>
    <w:rsid w:val="002F06BA"/>
    <w:rsid w:val="002F08DF"/>
    <w:rsid w:val="002F0AF4"/>
    <w:rsid w:val="002F0CA4"/>
    <w:rsid w:val="002F166E"/>
    <w:rsid w:val="002F16C6"/>
    <w:rsid w:val="002F1705"/>
    <w:rsid w:val="002F1707"/>
    <w:rsid w:val="002F1781"/>
    <w:rsid w:val="002F1B02"/>
    <w:rsid w:val="002F1BF4"/>
    <w:rsid w:val="002F1D4D"/>
    <w:rsid w:val="002F1F49"/>
    <w:rsid w:val="002F23BE"/>
    <w:rsid w:val="002F2937"/>
    <w:rsid w:val="002F29A8"/>
    <w:rsid w:val="002F2A9C"/>
    <w:rsid w:val="002F2BA2"/>
    <w:rsid w:val="002F2D59"/>
    <w:rsid w:val="002F2E26"/>
    <w:rsid w:val="002F3347"/>
    <w:rsid w:val="002F338E"/>
    <w:rsid w:val="002F3936"/>
    <w:rsid w:val="002F3D7F"/>
    <w:rsid w:val="002F3D9B"/>
    <w:rsid w:val="002F3E63"/>
    <w:rsid w:val="002F4260"/>
    <w:rsid w:val="002F4355"/>
    <w:rsid w:val="002F4ADF"/>
    <w:rsid w:val="002F4FAA"/>
    <w:rsid w:val="002F52A9"/>
    <w:rsid w:val="002F536A"/>
    <w:rsid w:val="002F56DA"/>
    <w:rsid w:val="002F59BC"/>
    <w:rsid w:val="002F5DE1"/>
    <w:rsid w:val="002F5E94"/>
    <w:rsid w:val="002F68F4"/>
    <w:rsid w:val="002F75A5"/>
    <w:rsid w:val="002F7779"/>
    <w:rsid w:val="002F7900"/>
    <w:rsid w:val="002F7A36"/>
    <w:rsid w:val="002F7BC9"/>
    <w:rsid w:val="002F7C03"/>
    <w:rsid w:val="00300717"/>
    <w:rsid w:val="00300943"/>
    <w:rsid w:val="00300AC1"/>
    <w:rsid w:val="00300AF6"/>
    <w:rsid w:val="00300C22"/>
    <w:rsid w:val="00300D4B"/>
    <w:rsid w:val="00301104"/>
    <w:rsid w:val="00301772"/>
    <w:rsid w:val="00301D68"/>
    <w:rsid w:val="00301F97"/>
    <w:rsid w:val="00302215"/>
    <w:rsid w:val="0030222F"/>
    <w:rsid w:val="00302836"/>
    <w:rsid w:val="00302C6A"/>
    <w:rsid w:val="00302E34"/>
    <w:rsid w:val="003031DA"/>
    <w:rsid w:val="0030328A"/>
    <w:rsid w:val="0030368F"/>
    <w:rsid w:val="00303AA8"/>
    <w:rsid w:val="00303D62"/>
    <w:rsid w:val="00304054"/>
    <w:rsid w:val="003040FB"/>
    <w:rsid w:val="00304237"/>
    <w:rsid w:val="00304534"/>
    <w:rsid w:val="00304787"/>
    <w:rsid w:val="0030493F"/>
    <w:rsid w:val="00305238"/>
    <w:rsid w:val="0030582D"/>
    <w:rsid w:val="00305B70"/>
    <w:rsid w:val="00305CB2"/>
    <w:rsid w:val="00305CC8"/>
    <w:rsid w:val="00305D7A"/>
    <w:rsid w:val="00305DBC"/>
    <w:rsid w:val="00305DE1"/>
    <w:rsid w:val="00305F1C"/>
    <w:rsid w:val="0030602F"/>
    <w:rsid w:val="003060BD"/>
    <w:rsid w:val="003069EA"/>
    <w:rsid w:val="00306D73"/>
    <w:rsid w:val="00306E82"/>
    <w:rsid w:val="00307049"/>
    <w:rsid w:val="003070E4"/>
    <w:rsid w:val="0030714B"/>
    <w:rsid w:val="00307275"/>
    <w:rsid w:val="003072D0"/>
    <w:rsid w:val="00307352"/>
    <w:rsid w:val="003074CB"/>
    <w:rsid w:val="003075D0"/>
    <w:rsid w:val="003076DD"/>
    <w:rsid w:val="003076E3"/>
    <w:rsid w:val="003077FF"/>
    <w:rsid w:val="00307CDB"/>
    <w:rsid w:val="00307CDC"/>
    <w:rsid w:val="00307EE4"/>
    <w:rsid w:val="00307FC7"/>
    <w:rsid w:val="00310D21"/>
    <w:rsid w:val="0031108C"/>
    <w:rsid w:val="003115DE"/>
    <w:rsid w:val="00311F53"/>
    <w:rsid w:val="00312101"/>
    <w:rsid w:val="0031213F"/>
    <w:rsid w:val="00312651"/>
    <w:rsid w:val="00312664"/>
    <w:rsid w:val="00312AB7"/>
    <w:rsid w:val="00313634"/>
    <w:rsid w:val="00313853"/>
    <w:rsid w:val="00313EFB"/>
    <w:rsid w:val="00313F26"/>
    <w:rsid w:val="0031474D"/>
    <w:rsid w:val="00314A22"/>
    <w:rsid w:val="00314C26"/>
    <w:rsid w:val="00314D06"/>
    <w:rsid w:val="00314E24"/>
    <w:rsid w:val="0031540E"/>
    <w:rsid w:val="00315655"/>
    <w:rsid w:val="0031594E"/>
    <w:rsid w:val="00315B8F"/>
    <w:rsid w:val="00315F4E"/>
    <w:rsid w:val="00316128"/>
    <w:rsid w:val="00316319"/>
    <w:rsid w:val="00316641"/>
    <w:rsid w:val="00316802"/>
    <w:rsid w:val="00316FB5"/>
    <w:rsid w:val="00317093"/>
    <w:rsid w:val="003170B1"/>
    <w:rsid w:val="003170C5"/>
    <w:rsid w:val="00317519"/>
    <w:rsid w:val="00317861"/>
    <w:rsid w:val="003178BE"/>
    <w:rsid w:val="003178D9"/>
    <w:rsid w:val="00317E27"/>
    <w:rsid w:val="0032006F"/>
    <w:rsid w:val="00320128"/>
    <w:rsid w:val="00320319"/>
    <w:rsid w:val="00320570"/>
    <w:rsid w:val="00320626"/>
    <w:rsid w:val="003206F6"/>
    <w:rsid w:val="003206F7"/>
    <w:rsid w:val="00320D08"/>
    <w:rsid w:val="00320D70"/>
    <w:rsid w:val="00321351"/>
    <w:rsid w:val="003213FE"/>
    <w:rsid w:val="003214CE"/>
    <w:rsid w:val="0032196D"/>
    <w:rsid w:val="00321BF8"/>
    <w:rsid w:val="00321D16"/>
    <w:rsid w:val="00321DEA"/>
    <w:rsid w:val="00321FC5"/>
    <w:rsid w:val="00322234"/>
    <w:rsid w:val="00322495"/>
    <w:rsid w:val="003229E1"/>
    <w:rsid w:val="00322F05"/>
    <w:rsid w:val="003230F9"/>
    <w:rsid w:val="00323100"/>
    <w:rsid w:val="003240BB"/>
    <w:rsid w:val="003242DE"/>
    <w:rsid w:val="00324670"/>
    <w:rsid w:val="00324837"/>
    <w:rsid w:val="00324D09"/>
    <w:rsid w:val="00324F79"/>
    <w:rsid w:val="0032571C"/>
    <w:rsid w:val="003257AE"/>
    <w:rsid w:val="00325982"/>
    <w:rsid w:val="00325F4F"/>
    <w:rsid w:val="00325F77"/>
    <w:rsid w:val="003269B4"/>
    <w:rsid w:val="00326A9E"/>
    <w:rsid w:val="00326F63"/>
    <w:rsid w:val="00327401"/>
    <w:rsid w:val="003274DA"/>
    <w:rsid w:val="00327586"/>
    <w:rsid w:val="0032787A"/>
    <w:rsid w:val="00327FD3"/>
    <w:rsid w:val="00330227"/>
    <w:rsid w:val="00330313"/>
    <w:rsid w:val="0033054B"/>
    <w:rsid w:val="00330F3A"/>
    <w:rsid w:val="00331419"/>
    <w:rsid w:val="003318F9"/>
    <w:rsid w:val="00331C01"/>
    <w:rsid w:val="00331D20"/>
    <w:rsid w:val="00332028"/>
    <w:rsid w:val="003328A5"/>
    <w:rsid w:val="00332926"/>
    <w:rsid w:val="00332BAF"/>
    <w:rsid w:val="00332D7B"/>
    <w:rsid w:val="00332DCF"/>
    <w:rsid w:val="00332E01"/>
    <w:rsid w:val="00332F60"/>
    <w:rsid w:val="00333A13"/>
    <w:rsid w:val="00333BA6"/>
    <w:rsid w:val="00333C53"/>
    <w:rsid w:val="0033417C"/>
    <w:rsid w:val="003346EB"/>
    <w:rsid w:val="003347C4"/>
    <w:rsid w:val="00334894"/>
    <w:rsid w:val="00334CA5"/>
    <w:rsid w:val="00334D87"/>
    <w:rsid w:val="00334E85"/>
    <w:rsid w:val="00335094"/>
    <w:rsid w:val="003350D8"/>
    <w:rsid w:val="003353F4"/>
    <w:rsid w:val="00335533"/>
    <w:rsid w:val="003355AA"/>
    <w:rsid w:val="00335697"/>
    <w:rsid w:val="00335774"/>
    <w:rsid w:val="003358C1"/>
    <w:rsid w:val="003358F0"/>
    <w:rsid w:val="00335933"/>
    <w:rsid w:val="003360F7"/>
    <w:rsid w:val="003361F6"/>
    <w:rsid w:val="003365AC"/>
    <w:rsid w:val="0033664E"/>
    <w:rsid w:val="003367EF"/>
    <w:rsid w:val="00336C2D"/>
    <w:rsid w:val="00336CE9"/>
    <w:rsid w:val="00336EA6"/>
    <w:rsid w:val="0033701C"/>
    <w:rsid w:val="003370E4"/>
    <w:rsid w:val="00337289"/>
    <w:rsid w:val="003375A2"/>
    <w:rsid w:val="003378EF"/>
    <w:rsid w:val="003401F7"/>
    <w:rsid w:val="00340DDD"/>
    <w:rsid w:val="00340E63"/>
    <w:rsid w:val="00340F59"/>
    <w:rsid w:val="0034102F"/>
    <w:rsid w:val="00341111"/>
    <w:rsid w:val="003412BD"/>
    <w:rsid w:val="00341323"/>
    <w:rsid w:val="003418D4"/>
    <w:rsid w:val="00341927"/>
    <w:rsid w:val="00341A19"/>
    <w:rsid w:val="00341DA2"/>
    <w:rsid w:val="00341EF8"/>
    <w:rsid w:val="003420DB"/>
    <w:rsid w:val="00342393"/>
    <w:rsid w:val="003424AD"/>
    <w:rsid w:val="0034262C"/>
    <w:rsid w:val="0034297C"/>
    <w:rsid w:val="00342A18"/>
    <w:rsid w:val="00342B8F"/>
    <w:rsid w:val="00342C58"/>
    <w:rsid w:val="00342CEE"/>
    <w:rsid w:val="00342DE9"/>
    <w:rsid w:val="00342E0F"/>
    <w:rsid w:val="00343117"/>
    <w:rsid w:val="0034320C"/>
    <w:rsid w:val="003434B3"/>
    <w:rsid w:val="003437BD"/>
    <w:rsid w:val="00343BD0"/>
    <w:rsid w:val="00343D67"/>
    <w:rsid w:val="003441F2"/>
    <w:rsid w:val="00344CF9"/>
    <w:rsid w:val="00345972"/>
    <w:rsid w:val="00345AC1"/>
    <w:rsid w:val="00345C7B"/>
    <w:rsid w:val="00345CB3"/>
    <w:rsid w:val="00345DA8"/>
    <w:rsid w:val="00345E31"/>
    <w:rsid w:val="0034647E"/>
    <w:rsid w:val="00346830"/>
    <w:rsid w:val="00346C4A"/>
    <w:rsid w:val="0034701B"/>
    <w:rsid w:val="003470F2"/>
    <w:rsid w:val="00347104"/>
    <w:rsid w:val="00347227"/>
    <w:rsid w:val="00347384"/>
    <w:rsid w:val="00347663"/>
    <w:rsid w:val="003478CF"/>
    <w:rsid w:val="003479DA"/>
    <w:rsid w:val="00347A49"/>
    <w:rsid w:val="00347B7B"/>
    <w:rsid w:val="0035017B"/>
    <w:rsid w:val="00350220"/>
    <w:rsid w:val="00350665"/>
    <w:rsid w:val="00350717"/>
    <w:rsid w:val="00350B1C"/>
    <w:rsid w:val="00350E98"/>
    <w:rsid w:val="00350FC8"/>
    <w:rsid w:val="00351475"/>
    <w:rsid w:val="003517FA"/>
    <w:rsid w:val="00351906"/>
    <w:rsid w:val="00351CC9"/>
    <w:rsid w:val="00351D56"/>
    <w:rsid w:val="00351EF9"/>
    <w:rsid w:val="003520AD"/>
    <w:rsid w:val="00352164"/>
    <w:rsid w:val="003522E0"/>
    <w:rsid w:val="0035236B"/>
    <w:rsid w:val="00352614"/>
    <w:rsid w:val="0035272F"/>
    <w:rsid w:val="00352D1B"/>
    <w:rsid w:val="00352D7B"/>
    <w:rsid w:val="00352E3E"/>
    <w:rsid w:val="00352F99"/>
    <w:rsid w:val="0035309A"/>
    <w:rsid w:val="003531C4"/>
    <w:rsid w:val="00353821"/>
    <w:rsid w:val="00353959"/>
    <w:rsid w:val="00353A27"/>
    <w:rsid w:val="00353BBC"/>
    <w:rsid w:val="003541B1"/>
    <w:rsid w:val="00354260"/>
    <w:rsid w:val="00354409"/>
    <w:rsid w:val="0035446B"/>
    <w:rsid w:val="0035448B"/>
    <w:rsid w:val="0035450F"/>
    <w:rsid w:val="00354A7C"/>
    <w:rsid w:val="00354D87"/>
    <w:rsid w:val="00354E8F"/>
    <w:rsid w:val="003551D0"/>
    <w:rsid w:val="00355734"/>
    <w:rsid w:val="00355AE5"/>
    <w:rsid w:val="00356203"/>
    <w:rsid w:val="00356730"/>
    <w:rsid w:val="00356733"/>
    <w:rsid w:val="0035682F"/>
    <w:rsid w:val="0035689C"/>
    <w:rsid w:val="003572B9"/>
    <w:rsid w:val="00357335"/>
    <w:rsid w:val="0035756C"/>
    <w:rsid w:val="003576B4"/>
    <w:rsid w:val="003576CC"/>
    <w:rsid w:val="00357985"/>
    <w:rsid w:val="003579FA"/>
    <w:rsid w:val="003603A7"/>
    <w:rsid w:val="00360417"/>
    <w:rsid w:val="003608E7"/>
    <w:rsid w:val="00360AA1"/>
    <w:rsid w:val="00360B90"/>
    <w:rsid w:val="00360E49"/>
    <w:rsid w:val="00360E93"/>
    <w:rsid w:val="003611FE"/>
    <w:rsid w:val="00361205"/>
    <w:rsid w:val="00361538"/>
    <w:rsid w:val="00361575"/>
    <w:rsid w:val="0036171B"/>
    <w:rsid w:val="003619F8"/>
    <w:rsid w:val="00361D7F"/>
    <w:rsid w:val="00361D8B"/>
    <w:rsid w:val="00361E68"/>
    <w:rsid w:val="00361F1E"/>
    <w:rsid w:val="00361F2F"/>
    <w:rsid w:val="003620C6"/>
    <w:rsid w:val="00362399"/>
    <w:rsid w:val="00362BF9"/>
    <w:rsid w:val="00362C61"/>
    <w:rsid w:val="00362C92"/>
    <w:rsid w:val="00362EC3"/>
    <w:rsid w:val="00362F8F"/>
    <w:rsid w:val="003637BC"/>
    <w:rsid w:val="00363A8E"/>
    <w:rsid w:val="0036401F"/>
    <w:rsid w:val="003641CA"/>
    <w:rsid w:val="00364304"/>
    <w:rsid w:val="003644B8"/>
    <w:rsid w:val="00364607"/>
    <w:rsid w:val="00364A31"/>
    <w:rsid w:val="00364B74"/>
    <w:rsid w:val="00364CB6"/>
    <w:rsid w:val="00364E6F"/>
    <w:rsid w:val="0036500A"/>
    <w:rsid w:val="00365043"/>
    <w:rsid w:val="00365574"/>
    <w:rsid w:val="0036559F"/>
    <w:rsid w:val="003658D1"/>
    <w:rsid w:val="00365AD7"/>
    <w:rsid w:val="00365EFB"/>
    <w:rsid w:val="00365F4B"/>
    <w:rsid w:val="0036678B"/>
    <w:rsid w:val="00366C69"/>
    <w:rsid w:val="003673D9"/>
    <w:rsid w:val="00367C90"/>
    <w:rsid w:val="0037010A"/>
    <w:rsid w:val="003701B3"/>
    <w:rsid w:val="0037048C"/>
    <w:rsid w:val="003705E5"/>
    <w:rsid w:val="0037077D"/>
    <w:rsid w:val="00370E5C"/>
    <w:rsid w:val="003711CA"/>
    <w:rsid w:val="003713B8"/>
    <w:rsid w:val="00371503"/>
    <w:rsid w:val="00371528"/>
    <w:rsid w:val="00371699"/>
    <w:rsid w:val="003719B7"/>
    <w:rsid w:val="00371A68"/>
    <w:rsid w:val="00371B13"/>
    <w:rsid w:val="00371D08"/>
    <w:rsid w:val="00372103"/>
    <w:rsid w:val="003728CA"/>
    <w:rsid w:val="0037297C"/>
    <w:rsid w:val="00372A64"/>
    <w:rsid w:val="00372DD6"/>
    <w:rsid w:val="00372F3A"/>
    <w:rsid w:val="003737AA"/>
    <w:rsid w:val="003738CC"/>
    <w:rsid w:val="00373DF1"/>
    <w:rsid w:val="00373E52"/>
    <w:rsid w:val="00373EE4"/>
    <w:rsid w:val="00373F58"/>
    <w:rsid w:val="00373FBA"/>
    <w:rsid w:val="00374220"/>
    <w:rsid w:val="00374532"/>
    <w:rsid w:val="00374720"/>
    <w:rsid w:val="00374868"/>
    <w:rsid w:val="00374BFE"/>
    <w:rsid w:val="00375180"/>
    <w:rsid w:val="003752A0"/>
    <w:rsid w:val="00375533"/>
    <w:rsid w:val="00375C4A"/>
    <w:rsid w:val="00375DF4"/>
    <w:rsid w:val="00376115"/>
    <w:rsid w:val="00376313"/>
    <w:rsid w:val="003764CA"/>
    <w:rsid w:val="003767EF"/>
    <w:rsid w:val="003768BF"/>
    <w:rsid w:val="00376C2A"/>
    <w:rsid w:val="00376EFB"/>
    <w:rsid w:val="00376FBC"/>
    <w:rsid w:val="00376FCC"/>
    <w:rsid w:val="0037787C"/>
    <w:rsid w:val="00377912"/>
    <w:rsid w:val="00377980"/>
    <w:rsid w:val="00377D17"/>
    <w:rsid w:val="00377E56"/>
    <w:rsid w:val="00377E7B"/>
    <w:rsid w:val="003801B5"/>
    <w:rsid w:val="00380254"/>
    <w:rsid w:val="0038044B"/>
    <w:rsid w:val="0038049A"/>
    <w:rsid w:val="003805E9"/>
    <w:rsid w:val="003806B9"/>
    <w:rsid w:val="00380A12"/>
    <w:rsid w:val="00380E12"/>
    <w:rsid w:val="00381CC6"/>
    <w:rsid w:val="00381F5C"/>
    <w:rsid w:val="003824D9"/>
    <w:rsid w:val="00382720"/>
    <w:rsid w:val="00382C66"/>
    <w:rsid w:val="00382E5E"/>
    <w:rsid w:val="00383004"/>
    <w:rsid w:val="00383082"/>
    <w:rsid w:val="003830CE"/>
    <w:rsid w:val="00383758"/>
    <w:rsid w:val="0038391C"/>
    <w:rsid w:val="00383986"/>
    <w:rsid w:val="00383997"/>
    <w:rsid w:val="00383A36"/>
    <w:rsid w:val="00383B21"/>
    <w:rsid w:val="00384719"/>
    <w:rsid w:val="00384803"/>
    <w:rsid w:val="00384A2C"/>
    <w:rsid w:val="00384B85"/>
    <w:rsid w:val="00384F43"/>
    <w:rsid w:val="0038552F"/>
    <w:rsid w:val="003857BF"/>
    <w:rsid w:val="003857CA"/>
    <w:rsid w:val="00385861"/>
    <w:rsid w:val="00385E2D"/>
    <w:rsid w:val="00386057"/>
    <w:rsid w:val="00386A74"/>
    <w:rsid w:val="00386A9E"/>
    <w:rsid w:val="00386BB9"/>
    <w:rsid w:val="00386D8A"/>
    <w:rsid w:val="00386E6E"/>
    <w:rsid w:val="00387237"/>
    <w:rsid w:val="0038746F"/>
    <w:rsid w:val="003878C1"/>
    <w:rsid w:val="003878CF"/>
    <w:rsid w:val="00387921"/>
    <w:rsid w:val="00387A8A"/>
    <w:rsid w:val="00387F22"/>
    <w:rsid w:val="00387FB1"/>
    <w:rsid w:val="003900E6"/>
    <w:rsid w:val="00390191"/>
    <w:rsid w:val="00390E4C"/>
    <w:rsid w:val="003910B7"/>
    <w:rsid w:val="00391139"/>
    <w:rsid w:val="0039141F"/>
    <w:rsid w:val="003916A5"/>
    <w:rsid w:val="003919E0"/>
    <w:rsid w:val="00391EB2"/>
    <w:rsid w:val="0039262E"/>
    <w:rsid w:val="0039283A"/>
    <w:rsid w:val="00392D19"/>
    <w:rsid w:val="00392D24"/>
    <w:rsid w:val="0039301C"/>
    <w:rsid w:val="00393045"/>
    <w:rsid w:val="00393071"/>
    <w:rsid w:val="0039319D"/>
    <w:rsid w:val="003934AD"/>
    <w:rsid w:val="003937F3"/>
    <w:rsid w:val="0039380E"/>
    <w:rsid w:val="00393DE5"/>
    <w:rsid w:val="003940D6"/>
    <w:rsid w:val="00394631"/>
    <w:rsid w:val="00394643"/>
    <w:rsid w:val="0039504C"/>
    <w:rsid w:val="003953EF"/>
    <w:rsid w:val="00395B95"/>
    <w:rsid w:val="00395BB4"/>
    <w:rsid w:val="00396030"/>
    <w:rsid w:val="003960DC"/>
    <w:rsid w:val="003961CC"/>
    <w:rsid w:val="00396201"/>
    <w:rsid w:val="00396316"/>
    <w:rsid w:val="0039641A"/>
    <w:rsid w:val="003965CD"/>
    <w:rsid w:val="0039686B"/>
    <w:rsid w:val="0039696E"/>
    <w:rsid w:val="00396B2C"/>
    <w:rsid w:val="00396BDF"/>
    <w:rsid w:val="003971E8"/>
    <w:rsid w:val="0039739B"/>
    <w:rsid w:val="0039750A"/>
    <w:rsid w:val="003A05FE"/>
    <w:rsid w:val="003A07B9"/>
    <w:rsid w:val="003A093C"/>
    <w:rsid w:val="003A095C"/>
    <w:rsid w:val="003A0A20"/>
    <w:rsid w:val="003A0AB8"/>
    <w:rsid w:val="003A0B5B"/>
    <w:rsid w:val="003A0E4D"/>
    <w:rsid w:val="003A10E7"/>
    <w:rsid w:val="003A11FF"/>
    <w:rsid w:val="003A1208"/>
    <w:rsid w:val="003A133E"/>
    <w:rsid w:val="003A15D6"/>
    <w:rsid w:val="003A17EC"/>
    <w:rsid w:val="003A1DE3"/>
    <w:rsid w:val="003A1F78"/>
    <w:rsid w:val="003A20F7"/>
    <w:rsid w:val="003A2251"/>
    <w:rsid w:val="003A2367"/>
    <w:rsid w:val="003A23D3"/>
    <w:rsid w:val="003A2439"/>
    <w:rsid w:val="003A2882"/>
    <w:rsid w:val="003A2999"/>
    <w:rsid w:val="003A2CC2"/>
    <w:rsid w:val="003A2E04"/>
    <w:rsid w:val="003A2E67"/>
    <w:rsid w:val="003A32FE"/>
    <w:rsid w:val="003A33C6"/>
    <w:rsid w:val="003A357F"/>
    <w:rsid w:val="003A3A1F"/>
    <w:rsid w:val="003A3C69"/>
    <w:rsid w:val="003A3EBC"/>
    <w:rsid w:val="003A4277"/>
    <w:rsid w:val="003A44C2"/>
    <w:rsid w:val="003A44E7"/>
    <w:rsid w:val="003A45F8"/>
    <w:rsid w:val="003A46C7"/>
    <w:rsid w:val="003A4B42"/>
    <w:rsid w:val="003A4BDD"/>
    <w:rsid w:val="003A4D97"/>
    <w:rsid w:val="003A4F5B"/>
    <w:rsid w:val="003A5145"/>
    <w:rsid w:val="003A5599"/>
    <w:rsid w:val="003A5765"/>
    <w:rsid w:val="003A5ADF"/>
    <w:rsid w:val="003A5D92"/>
    <w:rsid w:val="003A5D93"/>
    <w:rsid w:val="003A5F68"/>
    <w:rsid w:val="003A5F95"/>
    <w:rsid w:val="003A665B"/>
    <w:rsid w:val="003A6786"/>
    <w:rsid w:val="003A6847"/>
    <w:rsid w:val="003A6E54"/>
    <w:rsid w:val="003A6FC2"/>
    <w:rsid w:val="003A715B"/>
    <w:rsid w:val="003A7298"/>
    <w:rsid w:val="003A7377"/>
    <w:rsid w:val="003A7548"/>
    <w:rsid w:val="003A76E2"/>
    <w:rsid w:val="003A79D3"/>
    <w:rsid w:val="003B0018"/>
    <w:rsid w:val="003B01FE"/>
    <w:rsid w:val="003B0416"/>
    <w:rsid w:val="003B045B"/>
    <w:rsid w:val="003B0C64"/>
    <w:rsid w:val="003B10C1"/>
    <w:rsid w:val="003B1170"/>
    <w:rsid w:val="003B134F"/>
    <w:rsid w:val="003B1773"/>
    <w:rsid w:val="003B1A4E"/>
    <w:rsid w:val="003B1B7D"/>
    <w:rsid w:val="003B1DCC"/>
    <w:rsid w:val="003B1E7D"/>
    <w:rsid w:val="003B2445"/>
    <w:rsid w:val="003B2465"/>
    <w:rsid w:val="003B24D2"/>
    <w:rsid w:val="003B252F"/>
    <w:rsid w:val="003B2B39"/>
    <w:rsid w:val="003B2BC1"/>
    <w:rsid w:val="003B2CC6"/>
    <w:rsid w:val="003B2D6A"/>
    <w:rsid w:val="003B2D6E"/>
    <w:rsid w:val="003B3518"/>
    <w:rsid w:val="003B3699"/>
    <w:rsid w:val="003B389D"/>
    <w:rsid w:val="003B39E7"/>
    <w:rsid w:val="003B3A17"/>
    <w:rsid w:val="003B3A21"/>
    <w:rsid w:val="003B3CD9"/>
    <w:rsid w:val="003B3FFF"/>
    <w:rsid w:val="003B40D3"/>
    <w:rsid w:val="003B4142"/>
    <w:rsid w:val="003B4219"/>
    <w:rsid w:val="003B454A"/>
    <w:rsid w:val="003B4745"/>
    <w:rsid w:val="003B4886"/>
    <w:rsid w:val="003B4CC8"/>
    <w:rsid w:val="003B54FB"/>
    <w:rsid w:val="003B55EB"/>
    <w:rsid w:val="003B5B00"/>
    <w:rsid w:val="003B6745"/>
    <w:rsid w:val="003B689C"/>
    <w:rsid w:val="003B6A5F"/>
    <w:rsid w:val="003B6FB7"/>
    <w:rsid w:val="003B7127"/>
    <w:rsid w:val="003B719F"/>
    <w:rsid w:val="003B73C8"/>
    <w:rsid w:val="003B73F5"/>
    <w:rsid w:val="003B76AC"/>
    <w:rsid w:val="003B77C6"/>
    <w:rsid w:val="003B7C3C"/>
    <w:rsid w:val="003B7C72"/>
    <w:rsid w:val="003B7E9A"/>
    <w:rsid w:val="003B7F05"/>
    <w:rsid w:val="003B7FEB"/>
    <w:rsid w:val="003B7FFE"/>
    <w:rsid w:val="003C0299"/>
    <w:rsid w:val="003C0732"/>
    <w:rsid w:val="003C0EFA"/>
    <w:rsid w:val="003C0F9B"/>
    <w:rsid w:val="003C1041"/>
    <w:rsid w:val="003C13BA"/>
    <w:rsid w:val="003C149D"/>
    <w:rsid w:val="003C14C7"/>
    <w:rsid w:val="003C1675"/>
    <w:rsid w:val="003C1888"/>
    <w:rsid w:val="003C19AF"/>
    <w:rsid w:val="003C1F59"/>
    <w:rsid w:val="003C20D4"/>
    <w:rsid w:val="003C235A"/>
    <w:rsid w:val="003C25CF"/>
    <w:rsid w:val="003C2797"/>
    <w:rsid w:val="003C2AC1"/>
    <w:rsid w:val="003C2D1F"/>
    <w:rsid w:val="003C2D62"/>
    <w:rsid w:val="003C2F54"/>
    <w:rsid w:val="003C327D"/>
    <w:rsid w:val="003C3785"/>
    <w:rsid w:val="003C3A1E"/>
    <w:rsid w:val="003C3DBD"/>
    <w:rsid w:val="003C3F46"/>
    <w:rsid w:val="003C443A"/>
    <w:rsid w:val="003C4456"/>
    <w:rsid w:val="003C44D2"/>
    <w:rsid w:val="003C46C2"/>
    <w:rsid w:val="003C4A2D"/>
    <w:rsid w:val="003C4C0D"/>
    <w:rsid w:val="003C4C96"/>
    <w:rsid w:val="003C4D71"/>
    <w:rsid w:val="003C5007"/>
    <w:rsid w:val="003C505B"/>
    <w:rsid w:val="003C5117"/>
    <w:rsid w:val="003C576D"/>
    <w:rsid w:val="003C5A0D"/>
    <w:rsid w:val="003C5FF6"/>
    <w:rsid w:val="003C604D"/>
    <w:rsid w:val="003C62F9"/>
    <w:rsid w:val="003C64F8"/>
    <w:rsid w:val="003C6753"/>
    <w:rsid w:val="003C6B20"/>
    <w:rsid w:val="003C6BDB"/>
    <w:rsid w:val="003C6C7A"/>
    <w:rsid w:val="003C6D8A"/>
    <w:rsid w:val="003C6DFC"/>
    <w:rsid w:val="003C6EFC"/>
    <w:rsid w:val="003C6F0F"/>
    <w:rsid w:val="003C71CF"/>
    <w:rsid w:val="003C7257"/>
    <w:rsid w:val="003C7489"/>
    <w:rsid w:val="003C7846"/>
    <w:rsid w:val="003C789D"/>
    <w:rsid w:val="003C7DAA"/>
    <w:rsid w:val="003D045C"/>
    <w:rsid w:val="003D0917"/>
    <w:rsid w:val="003D0A50"/>
    <w:rsid w:val="003D0AC5"/>
    <w:rsid w:val="003D0B62"/>
    <w:rsid w:val="003D0FE8"/>
    <w:rsid w:val="003D151A"/>
    <w:rsid w:val="003D1D1D"/>
    <w:rsid w:val="003D1DEF"/>
    <w:rsid w:val="003D1EDE"/>
    <w:rsid w:val="003D260B"/>
    <w:rsid w:val="003D3009"/>
    <w:rsid w:val="003D3254"/>
    <w:rsid w:val="003D3257"/>
    <w:rsid w:val="003D347D"/>
    <w:rsid w:val="003D37B9"/>
    <w:rsid w:val="003D38B2"/>
    <w:rsid w:val="003D3ED9"/>
    <w:rsid w:val="003D43BD"/>
    <w:rsid w:val="003D4A56"/>
    <w:rsid w:val="003D4ABE"/>
    <w:rsid w:val="003D4CC8"/>
    <w:rsid w:val="003D4D51"/>
    <w:rsid w:val="003D4DF4"/>
    <w:rsid w:val="003D52CE"/>
    <w:rsid w:val="003D5405"/>
    <w:rsid w:val="003D5654"/>
    <w:rsid w:val="003D56B4"/>
    <w:rsid w:val="003D57C8"/>
    <w:rsid w:val="003D5827"/>
    <w:rsid w:val="003D5B0B"/>
    <w:rsid w:val="003D5B83"/>
    <w:rsid w:val="003D6011"/>
    <w:rsid w:val="003D6310"/>
    <w:rsid w:val="003D64EE"/>
    <w:rsid w:val="003D6552"/>
    <w:rsid w:val="003D667F"/>
    <w:rsid w:val="003D6859"/>
    <w:rsid w:val="003D68AF"/>
    <w:rsid w:val="003D6A52"/>
    <w:rsid w:val="003D6F5B"/>
    <w:rsid w:val="003D6FEF"/>
    <w:rsid w:val="003D711B"/>
    <w:rsid w:val="003D71D3"/>
    <w:rsid w:val="003D799F"/>
    <w:rsid w:val="003D7B2C"/>
    <w:rsid w:val="003E01CA"/>
    <w:rsid w:val="003E020D"/>
    <w:rsid w:val="003E02F8"/>
    <w:rsid w:val="003E03EC"/>
    <w:rsid w:val="003E0554"/>
    <w:rsid w:val="003E0A56"/>
    <w:rsid w:val="003E0E53"/>
    <w:rsid w:val="003E1107"/>
    <w:rsid w:val="003E13AF"/>
    <w:rsid w:val="003E15A8"/>
    <w:rsid w:val="003E16AD"/>
    <w:rsid w:val="003E1813"/>
    <w:rsid w:val="003E1917"/>
    <w:rsid w:val="003E1931"/>
    <w:rsid w:val="003E19FC"/>
    <w:rsid w:val="003E1A73"/>
    <w:rsid w:val="003E1F8C"/>
    <w:rsid w:val="003E244D"/>
    <w:rsid w:val="003E259A"/>
    <w:rsid w:val="003E2782"/>
    <w:rsid w:val="003E2835"/>
    <w:rsid w:val="003E2A83"/>
    <w:rsid w:val="003E2B87"/>
    <w:rsid w:val="003E2DEB"/>
    <w:rsid w:val="003E2ED1"/>
    <w:rsid w:val="003E310D"/>
    <w:rsid w:val="003E36B9"/>
    <w:rsid w:val="003E3A94"/>
    <w:rsid w:val="003E3EE8"/>
    <w:rsid w:val="003E446E"/>
    <w:rsid w:val="003E44CD"/>
    <w:rsid w:val="003E4C69"/>
    <w:rsid w:val="003E4DB8"/>
    <w:rsid w:val="003E4EEA"/>
    <w:rsid w:val="003E50D3"/>
    <w:rsid w:val="003E5182"/>
    <w:rsid w:val="003E5211"/>
    <w:rsid w:val="003E5A4D"/>
    <w:rsid w:val="003E5C20"/>
    <w:rsid w:val="003E5F25"/>
    <w:rsid w:val="003E6490"/>
    <w:rsid w:val="003E68DB"/>
    <w:rsid w:val="003E698F"/>
    <w:rsid w:val="003E6A01"/>
    <w:rsid w:val="003E6A5D"/>
    <w:rsid w:val="003E6A89"/>
    <w:rsid w:val="003E6D04"/>
    <w:rsid w:val="003E6F22"/>
    <w:rsid w:val="003E7148"/>
    <w:rsid w:val="003E7299"/>
    <w:rsid w:val="003E7635"/>
    <w:rsid w:val="003E7841"/>
    <w:rsid w:val="003E7B73"/>
    <w:rsid w:val="003E7CA2"/>
    <w:rsid w:val="003E7D35"/>
    <w:rsid w:val="003E7D7D"/>
    <w:rsid w:val="003E7F41"/>
    <w:rsid w:val="003F05F1"/>
    <w:rsid w:val="003F06AF"/>
    <w:rsid w:val="003F06F1"/>
    <w:rsid w:val="003F0B1E"/>
    <w:rsid w:val="003F0DA9"/>
    <w:rsid w:val="003F0E57"/>
    <w:rsid w:val="003F1030"/>
    <w:rsid w:val="003F137C"/>
    <w:rsid w:val="003F148C"/>
    <w:rsid w:val="003F177C"/>
    <w:rsid w:val="003F17A7"/>
    <w:rsid w:val="003F17DD"/>
    <w:rsid w:val="003F1AA5"/>
    <w:rsid w:val="003F1DF0"/>
    <w:rsid w:val="003F2091"/>
    <w:rsid w:val="003F2894"/>
    <w:rsid w:val="003F2E45"/>
    <w:rsid w:val="003F2F5C"/>
    <w:rsid w:val="003F3162"/>
    <w:rsid w:val="003F31D2"/>
    <w:rsid w:val="003F3716"/>
    <w:rsid w:val="003F38E7"/>
    <w:rsid w:val="003F3DC0"/>
    <w:rsid w:val="003F3FED"/>
    <w:rsid w:val="003F4038"/>
    <w:rsid w:val="003F41C6"/>
    <w:rsid w:val="003F4336"/>
    <w:rsid w:val="003F437E"/>
    <w:rsid w:val="003F456C"/>
    <w:rsid w:val="003F45BD"/>
    <w:rsid w:val="003F47C5"/>
    <w:rsid w:val="003F4845"/>
    <w:rsid w:val="003F4B58"/>
    <w:rsid w:val="003F4CDA"/>
    <w:rsid w:val="003F4DBE"/>
    <w:rsid w:val="003F538D"/>
    <w:rsid w:val="003F544C"/>
    <w:rsid w:val="003F5567"/>
    <w:rsid w:val="003F557E"/>
    <w:rsid w:val="003F55CB"/>
    <w:rsid w:val="003F58BE"/>
    <w:rsid w:val="003F59B2"/>
    <w:rsid w:val="003F5DF8"/>
    <w:rsid w:val="003F61FC"/>
    <w:rsid w:val="003F6709"/>
    <w:rsid w:val="003F6BBE"/>
    <w:rsid w:val="003F71CA"/>
    <w:rsid w:val="003F7573"/>
    <w:rsid w:val="003F773D"/>
    <w:rsid w:val="003F7CC5"/>
    <w:rsid w:val="003F7D3E"/>
    <w:rsid w:val="003F7EFF"/>
    <w:rsid w:val="004006A9"/>
    <w:rsid w:val="00400916"/>
    <w:rsid w:val="00400953"/>
    <w:rsid w:val="00400D68"/>
    <w:rsid w:val="00400FF5"/>
    <w:rsid w:val="00401042"/>
    <w:rsid w:val="0040115A"/>
    <w:rsid w:val="00401323"/>
    <w:rsid w:val="00401655"/>
    <w:rsid w:val="00401A63"/>
    <w:rsid w:val="00401B81"/>
    <w:rsid w:val="00401C73"/>
    <w:rsid w:val="00401DAE"/>
    <w:rsid w:val="004021C4"/>
    <w:rsid w:val="0040289E"/>
    <w:rsid w:val="00402925"/>
    <w:rsid w:val="00402A54"/>
    <w:rsid w:val="00403085"/>
    <w:rsid w:val="00403133"/>
    <w:rsid w:val="004033CC"/>
    <w:rsid w:val="004033CD"/>
    <w:rsid w:val="00403AA3"/>
    <w:rsid w:val="00403B44"/>
    <w:rsid w:val="00403C15"/>
    <w:rsid w:val="004045F4"/>
    <w:rsid w:val="0040497C"/>
    <w:rsid w:val="00404ABB"/>
    <w:rsid w:val="00404D66"/>
    <w:rsid w:val="004056F0"/>
    <w:rsid w:val="0040574A"/>
    <w:rsid w:val="004059DD"/>
    <w:rsid w:val="00405BCD"/>
    <w:rsid w:val="004067AD"/>
    <w:rsid w:val="00406DCC"/>
    <w:rsid w:val="0040700D"/>
    <w:rsid w:val="00407145"/>
    <w:rsid w:val="00407843"/>
    <w:rsid w:val="00407C14"/>
    <w:rsid w:val="00407C8F"/>
    <w:rsid w:val="00407D69"/>
    <w:rsid w:val="00407EE0"/>
    <w:rsid w:val="0041003B"/>
    <w:rsid w:val="004101A4"/>
    <w:rsid w:val="004101BC"/>
    <w:rsid w:val="00410397"/>
    <w:rsid w:val="0041058B"/>
    <w:rsid w:val="004105BD"/>
    <w:rsid w:val="0041115F"/>
    <w:rsid w:val="00411333"/>
    <w:rsid w:val="004115FF"/>
    <w:rsid w:val="00411758"/>
    <w:rsid w:val="00411AF2"/>
    <w:rsid w:val="00411C23"/>
    <w:rsid w:val="00411C8F"/>
    <w:rsid w:val="00411DBE"/>
    <w:rsid w:val="00411DD6"/>
    <w:rsid w:val="00411DF2"/>
    <w:rsid w:val="00411F32"/>
    <w:rsid w:val="00412021"/>
    <w:rsid w:val="00412566"/>
    <w:rsid w:val="00412906"/>
    <w:rsid w:val="00412D4D"/>
    <w:rsid w:val="00412E87"/>
    <w:rsid w:val="00412FA5"/>
    <w:rsid w:val="004138D8"/>
    <w:rsid w:val="00413C58"/>
    <w:rsid w:val="00413DE2"/>
    <w:rsid w:val="00414125"/>
    <w:rsid w:val="0041412E"/>
    <w:rsid w:val="00414553"/>
    <w:rsid w:val="004145D3"/>
    <w:rsid w:val="00414779"/>
    <w:rsid w:val="00414806"/>
    <w:rsid w:val="00414DA3"/>
    <w:rsid w:val="00414E02"/>
    <w:rsid w:val="00415106"/>
    <w:rsid w:val="0041527E"/>
    <w:rsid w:val="00415290"/>
    <w:rsid w:val="004152EA"/>
    <w:rsid w:val="00415511"/>
    <w:rsid w:val="00415908"/>
    <w:rsid w:val="00415990"/>
    <w:rsid w:val="00415A34"/>
    <w:rsid w:val="00415B00"/>
    <w:rsid w:val="00415B5C"/>
    <w:rsid w:val="004161DB"/>
    <w:rsid w:val="004163DC"/>
    <w:rsid w:val="0041675B"/>
    <w:rsid w:val="00416A69"/>
    <w:rsid w:val="00416B66"/>
    <w:rsid w:val="00416CA0"/>
    <w:rsid w:val="00417260"/>
    <w:rsid w:val="004174FF"/>
    <w:rsid w:val="004177B4"/>
    <w:rsid w:val="004179E6"/>
    <w:rsid w:val="00417A95"/>
    <w:rsid w:val="00417F94"/>
    <w:rsid w:val="00417FED"/>
    <w:rsid w:val="00420354"/>
    <w:rsid w:val="004207E4"/>
    <w:rsid w:val="00421807"/>
    <w:rsid w:val="00421836"/>
    <w:rsid w:val="004219AC"/>
    <w:rsid w:val="00421C3D"/>
    <w:rsid w:val="00421CE3"/>
    <w:rsid w:val="00421D53"/>
    <w:rsid w:val="004220D9"/>
    <w:rsid w:val="00422114"/>
    <w:rsid w:val="004221C1"/>
    <w:rsid w:val="00422B37"/>
    <w:rsid w:val="00422F7D"/>
    <w:rsid w:val="004230E1"/>
    <w:rsid w:val="0042367F"/>
    <w:rsid w:val="00423A13"/>
    <w:rsid w:val="00424452"/>
    <w:rsid w:val="00424B78"/>
    <w:rsid w:val="00424C00"/>
    <w:rsid w:val="00425033"/>
    <w:rsid w:val="00425122"/>
    <w:rsid w:val="0042541C"/>
    <w:rsid w:val="00425596"/>
    <w:rsid w:val="004255A7"/>
    <w:rsid w:val="00425844"/>
    <w:rsid w:val="004259F2"/>
    <w:rsid w:val="00425EC2"/>
    <w:rsid w:val="00425FC8"/>
    <w:rsid w:val="00426246"/>
    <w:rsid w:val="0042625F"/>
    <w:rsid w:val="00426301"/>
    <w:rsid w:val="0042646C"/>
    <w:rsid w:val="004265BE"/>
    <w:rsid w:val="0042670E"/>
    <w:rsid w:val="004269E4"/>
    <w:rsid w:val="00426F86"/>
    <w:rsid w:val="00426FAC"/>
    <w:rsid w:val="00427244"/>
    <w:rsid w:val="00427455"/>
    <w:rsid w:val="00427498"/>
    <w:rsid w:val="004275C1"/>
    <w:rsid w:val="004275E2"/>
    <w:rsid w:val="0042767B"/>
    <w:rsid w:val="00430012"/>
    <w:rsid w:val="00430723"/>
    <w:rsid w:val="00430C3D"/>
    <w:rsid w:val="00430CC7"/>
    <w:rsid w:val="00430CEE"/>
    <w:rsid w:val="00430ED6"/>
    <w:rsid w:val="00430F6A"/>
    <w:rsid w:val="0043134A"/>
    <w:rsid w:val="0043166D"/>
    <w:rsid w:val="00431A6A"/>
    <w:rsid w:val="00431F8D"/>
    <w:rsid w:val="00432043"/>
    <w:rsid w:val="004320D5"/>
    <w:rsid w:val="004322E3"/>
    <w:rsid w:val="004323B4"/>
    <w:rsid w:val="00432490"/>
    <w:rsid w:val="0043272D"/>
    <w:rsid w:val="00432D75"/>
    <w:rsid w:val="00432DB1"/>
    <w:rsid w:val="00432FC5"/>
    <w:rsid w:val="00433202"/>
    <w:rsid w:val="004335E8"/>
    <w:rsid w:val="0043407A"/>
    <w:rsid w:val="004343C5"/>
    <w:rsid w:val="00434645"/>
    <w:rsid w:val="00434724"/>
    <w:rsid w:val="00434A9A"/>
    <w:rsid w:val="00434B32"/>
    <w:rsid w:val="00434BD6"/>
    <w:rsid w:val="00434C38"/>
    <w:rsid w:val="00434CE4"/>
    <w:rsid w:val="00435295"/>
    <w:rsid w:val="00435467"/>
    <w:rsid w:val="0043566A"/>
    <w:rsid w:val="00435710"/>
    <w:rsid w:val="00435964"/>
    <w:rsid w:val="00435A06"/>
    <w:rsid w:val="00435A15"/>
    <w:rsid w:val="00435B9A"/>
    <w:rsid w:val="00435D81"/>
    <w:rsid w:val="00436A3E"/>
    <w:rsid w:val="00436BCD"/>
    <w:rsid w:val="00436D24"/>
    <w:rsid w:val="00436ED4"/>
    <w:rsid w:val="004372CA"/>
    <w:rsid w:val="00437822"/>
    <w:rsid w:val="00437C75"/>
    <w:rsid w:val="00437CAE"/>
    <w:rsid w:val="004402F5"/>
    <w:rsid w:val="0044039A"/>
    <w:rsid w:val="004404FA"/>
    <w:rsid w:val="0044069A"/>
    <w:rsid w:val="0044097B"/>
    <w:rsid w:val="00440B24"/>
    <w:rsid w:val="00440D78"/>
    <w:rsid w:val="00440F82"/>
    <w:rsid w:val="00441388"/>
    <w:rsid w:val="00441461"/>
    <w:rsid w:val="0044187D"/>
    <w:rsid w:val="00441A2A"/>
    <w:rsid w:val="00441AEB"/>
    <w:rsid w:val="00441AFF"/>
    <w:rsid w:val="00441EAE"/>
    <w:rsid w:val="004420CF"/>
    <w:rsid w:val="004420F6"/>
    <w:rsid w:val="0044218F"/>
    <w:rsid w:val="004421BA"/>
    <w:rsid w:val="0044230F"/>
    <w:rsid w:val="004426AD"/>
    <w:rsid w:val="0044277D"/>
    <w:rsid w:val="00442F54"/>
    <w:rsid w:val="00443125"/>
    <w:rsid w:val="00443265"/>
    <w:rsid w:val="0044359A"/>
    <w:rsid w:val="0044366C"/>
    <w:rsid w:val="00443686"/>
    <w:rsid w:val="00443E43"/>
    <w:rsid w:val="00444190"/>
    <w:rsid w:val="004446C5"/>
    <w:rsid w:val="00444772"/>
    <w:rsid w:val="00444841"/>
    <w:rsid w:val="0044485B"/>
    <w:rsid w:val="00444D6C"/>
    <w:rsid w:val="00444F65"/>
    <w:rsid w:val="00445274"/>
    <w:rsid w:val="004455C2"/>
    <w:rsid w:val="004459BC"/>
    <w:rsid w:val="00445DC2"/>
    <w:rsid w:val="00445E8B"/>
    <w:rsid w:val="004463BB"/>
    <w:rsid w:val="0044644C"/>
    <w:rsid w:val="0044648F"/>
    <w:rsid w:val="00446559"/>
    <w:rsid w:val="00446720"/>
    <w:rsid w:val="00446740"/>
    <w:rsid w:val="00446905"/>
    <w:rsid w:val="004470BE"/>
    <w:rsid w:val="00447153"/>
    <w:rsid w:val="004476C6"/>
    <w:rsid w:val="0044777A"/>
    <w:rsid w:val="00447A2F"/>
    <w:rsid w:val="00447C0A"/>
    <w:rsid w:val="00447CDF"/>
    <w:rsid w:val="00450193"/>
    <w:rsid w:val="004506B9"/>
    <w:rsid w:val="0045094D"/>
    <w:rsid w:val="00450A94"/>
    <w:rsid w:val="00450B77"/>
    <w:rsid w:val="00450BE4"/>
    <w:rsid w:val="00450EC3"/>
    <w:rsid w:val="0045128F"/>
    <w:rsid w:val="004512C2"/>
    <w:rsid w:val="0045130C"/>
    <w:rsid w:val="0045137C"/>
    <w:rsid w:val="0045141D"/>
    <w:rsid w:val="00451638"/>
    <w:rsid w:val="004519ED"/>
    <w:rsid w:val="00451B64"/>
    <w:rsid w:val="00451C95"/>
    <w:rsid w:val="00451CF7"/>
    <w:rsid w:val="00451DCA"/>
    <w:rsid w:val="00452052"/>
    <w:rsid w:val="004523ED"/>
    <w:rsid w:val="00452977"/>
    <w:rsid w:val="00452B62"/>
    <w:rsid w:val="00452C69"/>
    <w:rsid w:val="00452C8F"/>
    <w:rsid w:val="00452F5D"/>
    <w:rsid w:val="004530B4"/>
    <w:rsid w:val="0045329C"/>
    <w:rsid w:val="00453578"/>
    <w:rsid w:val="00453610"/>
    <w:rsid w:val="0045363B"/>
    <w:rsid w:val="00453737"/>
    <w:rsid w:val="0045378E"/>
    <w:rsid w:val="004539C9"/>
    <w:rsid w:val="00453AFB"/>
    <w:rsid w:val="00453DED"/>
    <w:rsid w:val="004543C7"/>
    <w:rsid w:val="00454469"/>
    <w:rsid w:val="00454A58"/>
    <w:rsid w:val="00454B13"/>
    <w:rsid w:val="00454C8A"/>
    <w:rsid w:val="00454FE9"/>
    <w:rsid w:val="00455082"/>
    <w:rsid w:val="00455214"/>
    <w:rsid w:val="00455295"/>
    <w:rsid w:val="0045552E"/>
    <w:rsid w:val="004556DE"/>
    <w:rsid w:val="004559E1"/>
    <w:rsid w:val="0045606F"/>
    <w:rsid w:val="00456136"/>
    <w:rsid w:val="00456307"/>
    <w:rsid w:val="0045655E"/>
    <w:rsid w:val="00456711"/>
    <w:rsid w:val="00456BED"/>
    <w:rsid w:val="00456D5A"/>
    <w:rsid w:val="004570D3"/>
    <w:rsid w:val="0045748B"/>
    <w:rsid w:val="00457669"/>
    <w:rsid w:val="00457673"/>
    <w:rsid w:val="00457E9A"/>
    <w:rsid w:val="00457EEC"/>
    <w:rsid w:val="00460090"/>
    <w:rsid w:val="004605CA"/>
    <w:rsid w:val="00460ABD"/>
    <w:rsid w:val="00460BB7"/>
    <w:rsid w:val="00460D1F"/>
    <w:rsid w:val="00460DE5"/>
    <w:rsid w:val="00461196"/>
    <w:rsid w:val="0046133D"/>
    <w:rsid w:val="00461395"/>
    <w:rsid w:val="00461809"/>
    <w:rsid w:val="00461AD9"/>
    <w:rsid w:val="00461B05"/>
    <w:rsid w:val="00461BF0"/>
    <w:rsid w:val="00462088"/>
    <w:rsid w:val="00462476"/>
    <w:rsid w:val="004627CA"/>
    <w:rsid w:val="00462941"/>
    <w:rsid w:val="00462A2F"/>
    <w:rsid w:val="00462B8C"/>
    <w:rsid w:val="00462BAF"/>
    <w:rsid w:val="00463100"/>
    <w:rsid w:val="0046318B"/>
    <w:rsid w:val="004634FD"/>
    <w:rsid w:val="004637D2"/>
    <w:rsid w:val="004638AE"/>
    <w:rsid w:val="00463B3D"/>
    <w:rsid w:val="00463C30"/>
    <w:rsid w:val="00463D5B"/>
    <w:rsid w:val="00464328"/>
    <w:rsid w:val="00464590"/>
    <w:rsid w:val="004645B6"/>
    <w:rsid w:val="00464A3C"/>
    <w:rsid w:val="00464B9D"/>
    <w:rsid w:val="00464D1C"/>
    <w:rsid w:val="00464D73"/>
    <w:rsid w:val="00464FBC"/>
    <w:rsid w:val="004651F4"/>
    <w:rsid w:val="00465294"/>
    <w:rsid w:val="004655F6"/>
    <w:rsid w:val="0046590C"/>
    <w:rsid w:val="00465AC9"/>
    <w:rsid w:val="00465B13"/>
    <w:rsid w:val="00465B39"/>
    <w:rsid w:val="00465D52"/>
    <w:rsid w:val="00465FC1"/>
    <w:rsid w:val="004661EE"/>
    <w:rsid w:val="004664AF"/>
    <w:rsid w:val="00466595"/>
    <w:rsid w:val="00466856"/>
    <w:rsid w:val="00466C6A"/>
    <w:rsid w:val="00466DF7"/>
    <w:rsid w:val="0046740F"/>
    <w:rsid w:val="00467880"/>
    <w:rsid w:val="0046791B"/>
    <w:rsid w:val="00467B1B"/>
    <w:rsid w:val="00470342"/>
    <w:rsid w:val="0047048D"/>
    <w:rsid w:val="00470A25"/>
    <w:rsid w:val="00470B1D"/>
    <w:rsid w:val="00470CE5"/>
    <w:rsid w:val="00470FF1"/>
    <w:rsid w:val="00471074"/>
    <w:rsid w:val="00471171"/>
    <w:rsid w:val="00471253"/>
    <w:rsid w:val="004717B2"/>
    <w:rsid w:val="00471F0A"/>
    <w:rsid w:val="00472096"/>
    <w:rsid w:val="004720D2"/>
    <w:rsid w:val="004720F3"/>
    <w:rsid w:val="00472545"/>
    <w:rsid w:val="00472C9B"/>
    <w:rsid w:val="00472DBE"/>
    <w:rsid w:val="00472DDD"/>
    <w:rsid w:val="004733B8"/>
    <w:rsid w:val="00473531"/>
    <w:rsid w:val="00473A5E"/>
    <w:rsid w:val="00473D89"/>
    <w:rsid w:val="00473DA1"/>
    <w:rsid w:val="00473EB7"/>
    <w:rsid w:val="0047411E"/>
    <w:rsid w:val="004741E1"/>
    <w:rsid w:val="0047453F"/>
    <w:rsid w:val="00474621"/>
    <w:rsid w:val="004746F1"/>
    <w:rsid w:val="00475062"/>
    <w:rsid w:val="004750AA"/>
    <w:rsid w:val="00475496"/>
    <w:rsid w:val="004754F1"/>
    <w:rsid w:val="00475565"/>
    <w:rsid w:val="004756BD"/>
    <w:rsid w:val="004757CB"/>
    <w:rsid w:val="004758A9"/>
    <w:rsid w:val="004758FC"/>
    <w:rsid w:val="00475A50"/>
    <w:rsid w:val="00475D1C"/>
    <w:rsid w:val="00475DA6"/>
    <w:rsid w:val="00476090"/>
    <w:rsid w:val="00476207"/>
    <w:rsid w:val="00476273"/>
    <w:rsid w:val="004763AC"/>
    <w:rsid w:val="0047693A"/>
    <w:rsid w:val="00477252"/>
    <w:rsid w:val="00477399"/>
    <w:rsid w:val="00477903"/>
    <w:rsid w:val="004779B1"/>
    <w:rsid w:val="00477CAC"/>
    <w:rsid w:val="00477E5E"/>
    <w:rsid w:val="004800D4"/>
    <w:rsid w:val="0048020B"/>
    <w:rsid w:val="004802F1"/>
    <w:rsid w:val="004807E1"/>
    <w:rsid w:val="00480BA2"/>
    <w:rsid w:val="00480DC8"/>
    <w:rsid w:val="004813CE"/>
    <w:rsid w:val="00481584"/>
    <w:rsid w:val="00481A51"/>
    <w:rsid w:val="00481AB0"/>
    <w:rsid w:val="00481FDC"/>
    <w:rsid w:val="004823D1"/>
    <w:rsid w:val="004824C2"/>
    <w:rsid w:val="0048262A"/>
    <w:rsid w:val="00482AE0"/>
    <w:rsid w:val="00482B09"/>
    <w:rsid w:val="00482B49"/>
    <w:rsid w:val="00482BD6"/>
    <w:rsid w:val="00482C37"/>
    <w:rsid w:val="00482FF4"/>
    <w:rsid w:val="00483259"/>
    <w:rsid w:val="0048326E"/>
    <w:rsid w:val="00483512"/>
    <w:rsid w:val="00483532"/>
    <w:rsid w:val="004837C6"/>
    <w:rsid w:val="0048399F"/>
    <w:rsid w:val="00483AE5"/>
    <w:rsid w:val="00483BD0"/>
    <w:rsid w:val="004840AB"/>
    <w:rsid w:val="004852CB"/>
    <w:rsid w:val="00485434"/>
    <w:rsid w:val="00485497"/>
    <w:rsid w:val="00485710"/>
    <w:rsid w:val="00485854"/>
    <w:rsid w:val="00485910"/>
    <w:rsid w:val="00485C31"/>
    <w:rsid w:val="00486374"/>
    <w:rsid w:val="00486435"/>
    <w:rsid w:val="004864DA"/>
    <w:rsid w:val="004866D2"/>
    <w:rsid w:val="00486F7D"/>
    <w:rsid w:val="004872BC"/>
    <w:rsid w:val="00487440"/>
    <w:rsid w:val="004874A4"/>
    <w:rsid w:val="004874BF"/>
    <w:rsid w:val="004876F6"/>
    <w:rsid w:val="00487A34"/>
    <w:rsid w:val="00487C21"/>
    <w:rsid w:val="00487E0B"/>
    <w:rsid w:val="00487F22"/>
    <w:rsid w:val="00490C52"/>
    <w:rsid w:val="00490F13"/>
    <w:rsid w:val="00490FE8"/>
    <w:rsid w:val="00491729"/>
    <w:rsid w:val="00491DEB"/>
    <w:rsid w:val="00492493"/>
    <w:rsid w:val="00492531"/>
    <w:rsid w:val="004925D0"/>
    <w:rsid w:val="00492611"/>
    <w:rsid w:val="00492B43"/>
    <w:rsid w:val="00493130"/>
    <w:rsid w:val="004932FD"/>
    <w:rsid w:val="004935A4"/>
    <w:rsid w:val="00493A90"/>
    <w:rsid w:val="00493A97"/>
    <w:rsid w:val="00494099"/>
    <w:rsid w:val="00494355"/>
    <w:rsid w:val="00494622"/>
    <w:rsid w:val="00494634"/>
    <w:rsid w:val="0049471F"/>
    <w:rsid w:val="00494945"/>
    <w:rsid w:val="004949A8"/>
    <w:rsid w:val="00495131"/>
    <w:rsid w:val="0049518F"/>
    <w:rsid w:val="0049524C"/>
    <w:rsid w:val="004953D5"/>
    <w:rsid w:val="00495E07"/>
    <w:rsid w:val="004961F6"/>
    <w:rsid w:val="00496543"/>
    <w:rsid w:val="00496B62"/>
    <w:rsid w:val="004971D0"/>
    <w:rsid w:val="004972B7"/>
    <w:rsid w:val="004975B4"/>
    <w:rsid w:val="004979D2"/>
    <w:rsid w:val="00497B3E"/>
    <w:rsid w:val="00497C86"/>
    <w:rsid w:val="00497F70"/>
    <w:rsid w:val="004A02A1"/>
    <w:rsid w:val="004A03E5"/>
    <w:rsid w:val="004A0456"/>
    <w:rsid w:val="004A04D5"/>
    <w:rsid w:val="004A084D"/>
    <w:rsid w:val="004A0961"/>
    <w:rsid w:val="004A0AB7"/>
    <w:rsid w:val="004A0B3C"/>
    <w:rsid w:val="004A0BDA"/>
    <w:rsid w:val="004A0E54"/>
    <w:rsid w:val="004A11C9"/>
    <w:rsid w:val="004A13BE"/>
    <w:rsid w:val="004A15E2"/>
    <w:rsid w:val="004A19BF"/>
    <w:rsid w:val="004A1B30"/>
    <w:rsid w:val="004A1B88"/>
    <w:rsid w:val="004A1CBA"/>
    <w:rsid w:val="004A1DA0"/>
    <w:rsid w:val="004A204B"/>
    <w:rsid w:val="004A2267"/>
    <w:rsid w:val="004A26F5"/>
    <w:rsid w:val="004A27A3"/>
    <w:rsid w:val="004A2B5A"/>
    <w:rsid w:val="004A2E2A"/>
    <w:rsid w:val="004A2F56"/>
    <w:rsid w:val="004A3B14"/>
    <w:rsid w:val="004A3D0E"/>
    <w:rsid w:val="004A40E5"/>
    <w:rsid w:val="004A43EE"/>
    <w:rsid w:val="004A4784"/>
    <w:rsid w:val="004A4889"/>
    <w:rsid w:val="004A4948"/>
    <w:rsid w:val="004A4CB7"/>
    <w:rsid w:val="004A4CBB"/>
    <w:rsid w:val="004A4E8E"/>
    <w:rsid w:val="004A503D"/>
    <w:rsid w:val="004A530A"/>
    <w:rsid w:val="004A578F"/>
    <w:rsid w:val="004A57F5"/>
    <w:rsid w:val="004A5AE4"/>
    <w:rsid w:val="004A5B5A"/>
    <w:rsid w:val="004A5D70"/>
    <w:rsid w:val="004A63A8"/>
    <w:rsid w:val="004A6673"/>
    <w:rsid w:val="004A68F3"/>
    <w:rsid w:val="004A6C14"/>
    <w:rsid w:val="004A6E4E"/>
    <w:rsid w:val="004A6EF7"/>
    <w:rsid w:val="004A6FCF"/>
    <w:rsid w:val="004A7266"/>
    <w:rsid w:val="004A75EF"/>
    <w:rsid w:val="004A761D"/>
    <w:rsid w:val="004A7BC5"/>
    <w:rsid w:val="004B078C"/>
    <w:rsid w:val="004B0BD6"/>
    <w:rsid w:val="004B0E90"/>
    <w:rsid w:val="004B1023"/>
    <w:rsid w:val="004B11FA"/>
    <w:rsid w:val="004B120C"/>
    <w:rsid w:val="004B141F"/>
    <w:rsid w:val="004B17AE"/>
    <w:rsid w:val="004B1A62"/>
    <w:rsid w:val="004B1CD0"/>
    <w:rsid w:val="004B1FA8"/>
    <w:rsid w:val="004B2044"/>
    <w:rsid w:val="004B2291"/>
    <w:rsid w:val="004B298B"/>
    <w:rsid w:val="004B3407"/>
    <w:rsid w:val="004B376F"/>
    <w:rsid w:val="004B3CE7"/>
    <w:rsid w:val="004B3EB8"/>
    <w:rsid w:val="004B3EDD"/>
    <w:rsid w:val="004B3F7E"/>
    <w:rsid w:val="004B431C"/>
    <w:rsid w:val="004B4470"/>
    <w:rsid w:val="004B44C3"/>
    <w:rsid w:val="004B4A49"/>
    <w:rsid w:val="004B4A6A"/>
    <w:rsid w:val="004B4A8D"/>
    <w:rsid w:val="004B4D90"/>
    <w:rsid w:val="004B4F13"/>
    <w:rsid w:val="004B4FF6"/>
    <w:rsid w:val="004B5073"/>
    <w:rsid w:val="004B5487"/>
    <w:rsid w:val="004B55CF"/>
    <w:rsid w:val="004B5A27"/>
    <w:rsid w:val="004B5A3C"/>
    <w:rsid w:val="004B5B32"/>
    <w:rsid w:val="004B5E60"/>
    <w:rsid w:val="004B6056"/>
    <w:rsid w:val="004B6068"/>
    <w:rsid w:val="004B6296"/>
    <w:rsid w:val="004B67F6"/>
    <w:rsid w:val="004B6D7D"/>
    <w:rsid w:val="004B728A"/>
    <w:rsid w:val="004B72FF"/>
    <w:rsid w:val="004B73AC"/>
    <w:rsid w:val="004B7BE7"/>
    <w:rsid w:val="004B7C30"/>
    <w:rsid w:val="004B7D06"/>
    <w:rsid w:val="004B7E50"/>
    <w:rsid w:val="004C03C3"/>
    <w:rsid w:val="004C05C8"/>
    <w:rsid w:val="004C0637"/>
    <w:rsid w:val="004C0923"/>
    <w:rsid w:val="004C0AED"/>
    <w:rsid w:val="004C0C27"/>
    <w:rsid w:val="004C0DCE"/>
    <w:rsid w:val="004C0E28"/>
    <w:rsid w:val="004C0F32"/>
    <w:rsid w:val="004C0F88"/>
    <w:rsid w:val="004C1467"/>
    <w:rsid w:val="004C1512"/>
    <w:rsid w:val="004C15E2"/>
    <w:rsid w:val="004C184D"/>
    <w:rsid w:val="004C190E"/>
    <w:rsid w:val="004C1D08"/>
    <w:rsid w:val="004C2204"/>
    <w:rsid w:val="004C237E"/>
    <w:rsid w:val="004C2743"/>
    <w:rsid w:val="004C2920"/>
    <w:rsid w:val="004C2964"/>
    <w:rsid w:val="004C2982"/>
    <w:rsid w:val="004C2C2B"/>
    <w:rsid w:val="004C3117"/>
    <w:rsid w:val="004C36AE"/>
    <w:rsid w:val="004C391D"/>
    <w:rsid w:val="004C3D56"/>
    <w:rsid w:val="004C3E2F"/>
    <w:rsid w:val="004C41D0"/>
    <w:rsid w:val="004C456B"/>
    <w:rsid w:val="004C48D8"/>
    <w:rsid w:val="004C4A99"/>
    <w:rsid w:val="004C4D5F"/>
    <w:rsid w:val="004C4E15"/>
    <w:rsid w:val="004C51DE"/>
    <w:rsid w:val="004C53BE"/>
    <w:rsid w:val="004C56D1"/>
    <w:rsid w:val="004C5A53"/>
    <w:rsid w:val="004C625F"/>
    <w:rsid w:val="004C6621"/>
    <w:rsid w:val="004C6647"/>
    <w:rsid w:val="004C6694"/>
    <w:rsid w:val="004C684C"/>
    <w:rsid w:val="004C688B"/>
    <w:rsid w:val="004C6BA6"/>
    <w:rsid w:val="004C6BFB"/>
    <w:rsid w:val="004C6C15"/>
    <w:rsid w:val="004C7B3F"/>
    <w:rsid w:val="004C7C1A"/>
    <w:rsid w:val="004C7C5D"/>
    <w:rsid w:val="004C7C97"/>
    <w:rsid w:val="004D06BC"/>
    <w:rsid w:val="004D1427"/>
    <w:rsid w:val="004D1B60"/>
    <w:rsid w:val="004D1BEE"/>
    <w:rsid w:val="004D1C10"/>
    <w:rsid w:val="004D1F65"/>
    <w:rsid w:val="004D1F75"/>
    <w:rsid w:val="004D2106"/>
    <w:rsid w:val="004D21E8"/>
    <w:rsid w:val="004D234E"/>
    <w:rsid w:val="004D2381"/>
    <w:rsid w:val="004D2447"/>
    <w:rsid w:val="004D260B"/>
    <w:rsid w:val="004D2668"/>
    <w:rsid w:val="004D28B7"/>
    <w:rsid w:val="004D2A2C"/>
    <w:rsid w:val="004D2D63"/>
    <w:rsid w:val="004D35E8"/>
    <w:rsid w:val="004D398B"/>
    <w:rsid w:val="004D3ADA"/>
    <w:rsid w:val="004D3B30"/>
    <w:rsid w:val="004D3B67"/>
    <w:rsid w:val="004D3BBA"/>
    <w:rsid w:val="004D3EE4"/>
    <w:rsid w:val="004D42AE"/>
    <w:rsid w:val="004D4DB3"/>
    <w:rsid w:val="004D5025"/>
    <w:rsid w:val="004D517B"/>
    <w:rsid w:val="004D529E"/>
    <w:rsid w:val="004D534D"/>
    <w:rsid w:val="004D5773"/>
    <w:rsid w:val="004D5827"/>
    <w:rsid w:val="004D58AF"/>
    <w:rsid w:val="004D5ECD"/>
    <w:rsid w:val="004D5ED1"/>
    <w:rsid w:val="004D5FA5"/>
    <w:rsid w:val="004D60C7"/>
    <w:rsid w:val="004D614C"/>
    <w:rsid w:val="004D6389"/>
    <w:rsid w:val="004D6CB1"/>
    <w:rsid w:val="004D70D8"/>
    <w:rsid w:val="004D746E"/>
    <w:rsid w:val="004D7594"/>
    <w:rsid w:val="004D75D9"/>
    <w:rsid w:val="004D788E"/>
    <w:rsid w:val="004D793A"/>
    <w:rsid w:val="004D7B10"/>
    <w:rsid w:val="004D7E8F"/>
    <w:rsid w:val="004E0209"/>
    <w:rsid w:val="004E05C7"/>
    <w:rsid w:val="004E0895"/>
    <w:rsid w:val="004E0C24"/>
    <w:rsid w:val="004E0F56"/>
    <w:rsid w:val="004E1294"/>
    <w:rsid w:val="004E1572"/>
    <w:rsid w:val="004E15CC"/>
    <w:rsid w:val="004E17E9"/>
    <w:rsid w:val="004E1B53"/>
    <w:rsid w:val="004E1D01"/>
    <w:rsid w:val="004E1DA3"/>
    <w:rsid w:val="004E1DAE"/>
    <w:rsid w:val="004E1DF0"/>
    <w:rsid w:val="004E210F"/>
    <w:rsid w:val="004E2163"/>
    <w:rsid w:val="004E235D"/>
    <w:rsid w:val="004E25A6"/>
    <w:rsid w:val="004E2C8B"/>
    <w:rsid w:val="004E2E14"/>
    <w:rsid w:val="004E2FDD"/>
    <w:rsid w:val="004E3156"/>
    <w:rsid w:val="004E3168"/>
    <w:rsid w:val="004E3536"/>
    <w:rsid w:val="004E36E1"/>
    <w:rsid w:val="004E37CB"/>
    <w:rsid w:val="004E380B"/>
    <w:rsid w:val="004E3862"/>
    <w:rsid w:val="004E3AD6"/>
    <w:rsid w:val="004E3BAC"/>
    <w:rsid w:val="004E400C"/>
    <w:rsid w:val="004E409F"/>
    <w:rsid w:val="004E415C"/>
    <w:rsid w:val="004E423A"/>
    <w:rsid w:val="004E4615"/>
    <w:rsid w:val="004E46E2"/>
    <w:rsid w:val="004E47B7"/>
    <w:rsid w:val="004E4DE7"/>
    <w:rsid w:val="004E5061"/>
    <w:rsid w:val="004E52AC"/>
    <w:rsid w:val="004E558E"/>
    <w:rsid w:val="004E5A25"/>
    <w:rsid w:val="004E5DA1"/>
    <w:rsid w:val="004E5E11"/>
    <w:rsid w:val="004E60DF"/>
    <w:rsid w:val="004E6159"/>
    <w:rsid w:val="004E6274"/>
    <w:rsid w:val="004E64C3"/>
    <w:rsid w:val="004E6701"/>
    <w:rsid w:val="004E6DE8"/>
    <w:rsid w:val="004E6FC0"/>
    <w:rsid w:val="004E7188"/>
    <w:rsid w:val="004E7426"/>
    <w:rsid w:val="004E7667"/>
    <w:rsid w:val="004E7913"/>
    <w:rsid w:val="004E7ACF"/>
    <w:rsid w:val="004E7CC6"/>
    <w:rsid w:val="004F002D"/>
    <w:rsid w:val="004F01CA"/>
    <w:rsid w:val="004F0905"/>
    <w:rsid w:val="004F0945"/>
    <w:rsid w:val="004F0B90"/>
    <w:rsid w:val="004F0BB7"/>
    <w:rsid w:val="004F0CEB"/>
    <w:rsid w:val="004F0FDD"/>
    <w:rsid w:val="004F134F"/>
    <w:rsid w:val="004F13AF"/>
    <w:rsid w:val="004F1686"/>
    <w:rsid w:val="004F1874"/>
    <w:rsid w:val="004F1C0D"/>
    <w:rsid w:val="004F1C40"/>
    <w:rsid w:val="004F1DF7"/>
    <w:rsid w:val="004F1E99"/>
    <w:rsid w:val="004F27A7"/>
    <w:rsid w:val="004F2B1A"/>
    <w:rsid w:val="004F2DA2"/>
    <w:rsid w:val="004F2FC4"/>
    <w:rsid w:val="004F3259"/>
    <w:rsid w:val="004F340E"/>
    <w:rsid w:val="004F346A"/>
    <w:rsid w:val="004F34BE"/>
    <w:rsid w:val="004F3517"/>
    <w:rsid w:val="004F3683"/>
    <w:rsid w:val="004F3F80"/>
    <w:rsid w:val="004F4457"/>
    <w:rsid w:val="004F4530"/>
    <w:rsid w:val="004F4571"/>
    <w:rsid w:val="004F45D0"/>
    <w:rsid w:val="004F45F3"/>
    <w:rsid w:val="004F47C7"/>
    <w:rsid w:val="004F491B"/>
    <w:rsid w:val="004F4AB1"/>
    <w:rsid w:val="004F5339"/>
    <w:rsid w:val="004F5759"/>
    <w:rsid w:val="004F580D"/>
    <w:rsid w:val="004F59E9"/>
    <w:rsid w:val="004F5C30"/>
    <w:rsid w:val="004F5D98"/>
    <w:rsid w:val="004F5DFC"/>
    <w:rsid w:val="004F6304"/>
    <w:rsid w:val="004F6343"/>
    <w:rsid w:val="004F63BD"/>
    <w:rsid w:val="004F63D8"/>
    <w:rsid w:val="004F6475"/>
    <w:rsid w:val="004F6574"/>
    <w:rsid w:val="004F6794"/>
    <w:rsid w:val="004F686A"/>
    <w:rsid w:val="004F68CE"/>
    <w:rsid w:val="004F6AB7"/>
    <w:rsid w:val="004F6CB0"/>
    <w:rsid w:val="004F6E5D"/>
    <w:rsid w:val="004F6E92"/>
    <w:rsid w:val="004F7405"/>
    <w:rsid w:val="004F747C"/>
    <w:rsid w:val="004F7613"/>
    <w:rsid w:val="004F7ACD"/>
    <w:rsid w:val="004F7E58"/>
    <w:rsid w:val="0050001C"/>
    <w:rsid w:val="00500374"/>
    <w:rsid w:val="00500826"/>
    <w:rsid w:val="00500834"/>
    <w:rsid w:val="005008D8"/>
    <w:rsid w:val="00500A80"/>
    <w:rsid w:val="00500B0C"/>
    <w:rsid w:val="00500D28"/>
    <w:rsid w:val="00500EEA"/>
    <w:rsid w:val="00500EF5"/>
    <w:rsid w:val="005011E5"/>
    <w:rsid w:val="005014B8"/>
    <w:rsid w:val="005015D9"/>
    <w:rsid w:val="00501662"/>
    <w:rsid w:val="00501982"/>
    <w:rsid w:val="00501B40"/>
    <w:rsid w:val="00501C25"/>
    <w:rsid w:val="00501C45"/>
    <w:rsid w:val="00501CAD"/>
    <w:rsid w:val="00501FE4"/>
    <w:rsid w:val="00502318"/>
    <w:rsid w:val="00502EC1"/>
    <w:rsid w:val="00503C8F"/>
    <w:rsid w:val="00503FA2"/>
    <w:rsid w:val="005047DD"/>
    <w:rsid w:val="005047DF"/>
    <w:rsid w:val="00504B8D"/>
    <w:rsid w:val="00505056"/>
    <w:rsid w:val="00505468"/>
    <w:rsid w:val="005055DE"/>
    <w:rsid w:val="00505650"/>
    <w:rsid w:val="00505BDE"/>
    <w:rsid w:val="005061C2"/>
    <w:rsid w:val="005063C0"/>
    <w:rsid w:val="00506A2C"/>
    <w:rsid w:val="00506D00"/>
    <w:rsid w:val="00506FA2"/>
    <w:rsid w:val="005071B8"/>
    <w:rsid w:val="00507227"/>
    <w:rsid w:val="00507266"/>
    <w:rsid w:val="005075BC"/>
    <w:rsid w:val="00510294"/>
    <w:rsid w:val="00510401"/>
    <w:rsid w:val="005108B8"/>
    <w:rsid w:val="005109A9"/>
    <w:rsid w:val="00510A17"/>
    <w:rsid w:val="005110B1"/>
    <w:rsid w:val="0051114D"/>
    <w:rsid w:val="00511265"/>
    <w:rsid w:val="005116F7"/>
    <w:rsid w:val="005119FE"/>
    <w:rsid w:val="00511B4B"/>
    <w:rsid w:val="00511D58"/>
    <w:rsid w:val="0051255D"/>
    <w:rsid w:val="0051277F"/>
    <w:rsid w:val="005127AE"/>
    <w:rsid w:val="00512807"/>
    <w:rsid w:val="00512836"/>
    <w:rsid w:val="00512DD5"/>
    <w:rsid w:val="005130FE"/>
    <w:rsid w:val="0051327A"/>
    <w:rsid w:val="005132AB"/>
    <w:rsid w:val="005133B3"/>
    <w:rsid w:val="005137B6"/>
    <w:rsid w:val="00513D32"/>
    <w:rsid w:val="00513E14"/>
    <w:rsid w:val="00513EEB"/>
    <w:rsid w:val="00513F9C"/>
    <w:rsid w:val="00514129"/>
    <w:rsid w:val="00514159"/>
    <w:rsid w:val="00514259"/>
    <w:rsid w:val="0051467D"/>
    <w:rsid w:val="005147AF"/>
    <w:rsid w:val="0051488D"/>
    <w:rsid w:val="00514EBB"/>
    <w:rsid w:val="00515036"/>
    <w:rsid w:val="005151A0"/>
    <w:rsid w:val="005154C1"/>
    <w:rsid w:val="005155EB"/>
    <w:rsid w:val="005156BF"/>
    <w:rsid w:val="00515AC7"/>
    <w:rsid w:val="0051601C"/>
    <w:rsid w:val="0051627E"/>
    <w:rsid w:val="005162AB"/>
    <w:rsid w:val="005162D1"/>
    <w:rsid w:val="00516440"/>
    <w:rsid w:val="0051648D"/>
    <w:rsid w:val="005165B8"/>
    <w:rsid w:val="00516A9E"/>
    <w:rsid w:val="00516D16"/>
    <w:rsid w:val="00516E7B"/>
    <w:rsid w:val="00517179"/>
    <w:rsid w:val="00517234"/>
    <w:rsid w:val="0051733C"/>
    <w:rsid w:val="005173C8"/>
    <w:rsid w:val="00517470"/>
    <w:rsid w:val="00517CB2"/>
    <w:rsid w:val="00517F7B"/>
    <w:rsid w:val="00520575"/>
    <w:rsid w:val="0052092D"/>
    <w:rsid w:val="00520D14"/>
    <w:rsid w:val="00520FB5"/>
    <w:rsid w:val="00520FFD"/>
    <w:rsid w:val="00521122"/>
    <w:rsid w:val="00521192"/>
    <w:rsid w:val="00521598"/>
    <w:rsid w:val="005215C5"/>
    <w:rsid w:val="00521604"/>
    <w:rsid w:val="005216F9"/>
    <w:rsid w:val="00521E3C"/>
    <w:rsid w:val="00522065"/>
    <w:rsid w:val="005222B5"/>
    <w:rsid w:val="005225FD"/>
    <w:rsid w:val="00522729"/>
    <w:rsid w:val="0052283B"/>
    <w:rsid w:val="00522C44"/>
    <w:rsid w:val="00522CA8"/>
    <w:rsid w:val="00523497"/>
    <w:rsid w:val="0052351B"/>
    <w:rsid w:val="0052366D"/>
    <w:rsid w:val="005237EC"/>
    <w:rsid w:val="00523AA7"/>
    <w:rsid w:val="00523D20"/>
    <w:rsid w:val="00524633"/>
    <w:rsid w:val="00524777"/>
    <w:rsid w:val="0052485E"/>
    <w:rsid w:val="00524A47"/>
    <w:rsid w:val="00524E01"/>
    <w:rsid w:val="00524EC3"/>
    <w:rsid w:val="00524EC6"/>
    <w:rsid w:val="005252D5"/>
    <w:rsid w:val="005254B2"/>
    <w:rsid w:val="00525759"/>
    <w:rsid w:val="005262B6"/>
    <w:rsid w:val="0052655B"/>
    <w:rsid w:val="00526692"/>
    <w:rsid w:val="005267AF"/>
    <w:rsid w:val="00526982"/>
    <w:rsid w:val="00526993"/>
    <w:rsid w:val="005274DC"/>
    <w:rsid w:val="00527638"/>
    <w:rsid w:val="00527873"/>
    <w:rsid w:val="00527903"/>
    <w:rsid w:val="00527A47"/>
    <w:rsid w:val="00527B91"/>
    <w:rsid w:val="00527BED"/>
    <w:rsid w:val="00527F5E"/>
    <w:rsid w:val="00527FE1"/>
    <w:rsid w:val="005300EA"/>
    <w:rsid w:val="005301FF"/>
    <w:rsid w:val="005303BB"/>
    <w:rsid w:val="00530407"/>
    <w:rsid w:val="005305B1"/>
    <w:rsid w:val="0053065D"/>
    <w:rsid w:val="0053078E"/>
    <w:rsid w:val="0053098B"/>
    <w:rsid w:val="00530C13"/>
    <w:rsid w:val="00530C80"/>
    <w:rsid w:val="00530E38"/>
    <w:rsid w:val="0053113F"/>
    <w:rsid w:val="00531397"/>
    <w:rsid w:val="0053166D"/>
    <w:rsid w:val="00531BD9"/>
    <w:rsid w:val="00531CF8"/>
    <w:rsid w:val="00532173"/>
    <w:rsid w:val="005323BE"/>
    <w:rsid w:val="005326E3"/>
    <w:rsid w:val="00532B44"/>
    <w:rsid w:val="00532D80"/>
    <w:rsid w:val="00532EFB"/>
    <w:rsid w:val="00532F8D"/>
    <w:rsid w:val="00533041"/>
    <w:rsid w:val="00533465"/>
    <w:rsid w:val="005334B2"/>
    <w:rsid w:val="005334DB"/>
    <w:rsid w:val="005339A6"/>
    <w:rsid w:val="00533ADD"/>
    <w:rsid w:val="00533DD4"/>
    <w:rsid w:val="0053476F"/>
    <w:rsid w:val="00534C15"/>
    <w:rsid w:val="00534EE4"/>
    <w:rsid w:val="00535561"/>
    <w:rsid w:val="005356D1"/>
    <w:rsid w:val="00535742"/>
    <w:rsid w:val="00535831"/>
    <w:rsid w:val="00535B80"/>
    <w:rsid w:val="00535C00"/>
    <w:rsid w:val="00535C97"/>
    <w:rsid w:val="00535CA5"/>
    <w:rsid w:val="00535D02"/>
    <w:rsid w:val="00535EA3"/>
    <w:rsid w:val="005360A2"/>
    <w:rsid w:val="005367B4"/>
    <w:rsid w:val="0053689A"/>
    <w:rsid w:val="00536918"/>
    <w:rsid w:val="00536AAC"/>
    <w:rsid w:val="00536B77"/>
    <w:rsid w:val="00536BD7"/>
    <w:rsid w:val="00536EA3"/>
    <w:rsid w:val="00536EF5"/>
    <w:rsid w:val="005375A5"/>
    <w:rsid w:val="005377E0"/>
    <w:rsid w:val="00537822"/>
    <w:rsid w:val="00537C95"/>
    <w:rsid w:val="00540455"/>
    <w:rsid w:val="0054058B"/>
    <w:rsid w:val="00540B5C"/>
    <w:rsid w:val="0054101A"/>
    <w:rsid w:val="00541146"/>
    <w:rsid w:val="00541214"/>
    <w:rsid w:val="005412D9"/>
    <w:rsid w:val="0054141E"/>
    <w:rsid w:val="005414B2"/>
    <w:rsid w:val="00541653"/>
    <w:rsid w:val="00541872"/>
    <w:rsid w:val="00541965"/>
    <w:rsid w:val="005419F7"/>
    <w:rsid w:val="00541E43"/>
    <w:rsid w:val="00542668"/>
    <w:rsid w:val="00542814"/>
    <w:rsid w:val="00542FCC"/>
    <w:rsid w:val="00543212"/>
    <w:rsid w:val="00543452"/>
    <w:rsid w:val="005436D8"/>
    <w:rsid w:val="00543704"/>
    <w:rsid w:val="005439D2"/>
    <w:rsid w:val="00543A75"/>
    <w:rsid w:val="00543A7F"/>
    <w:rsid w:val="00543AFC"/>
    <w:rsid w:val="00543D83"/>
    <w:rsid w:val="00543FDA"/>
    <w:rsid w:val="00544160"/>
    <w:rsid w:val="00544534"/>
    <w:rsid w:val="00544625"/>
    <w:rsid w:val="00544916"/>
    <w:rsid w:val="00544B3F"/>
    <w:rsid w:val="005450AC"/>
    <w:rsid w:val="00545612"/>
    <w:rsid w:val="00545699"/>
    <w:rsid w:val="00545717"/>
    <w:rsid w:val="005457F2"/>
    <w:rsid w:val="00545888"/>
    <w:rsid w:val="005459EA"/>
    <w:rsid w:val="00545ABF"/>
    <w:rsid w:val="00545CC2"/>
    <w:rsid w:val="005460C4"/>
    <w:rsid w:val="00546238"/>
    <w:rsid w:val="005465D0"/>
    <w:rsid w:val="00546C87"/>
    <w:rsid w:val="00547121"/>
    <w:rsid w:val="0054733C"/>
    <w:rsid w:val="00547458"/>
    <w:rsid w:val="005476C4"/>
    <w:rsid w:val="005478B6"/>
    <w:rsid w:val="00547D3F"/>
    <w:rsid w:val="00547D6C"/>
    <w:rsid w:val="005500DF"/>
    <w:rsid w:val="005502C8"/>
    <w:rsid w:val="00550619"/>
    <w:rsid w:val="00550734"/>
    <w:rsid w:val="005509E7"/>
    <w:rsid w:val="00550B06"/>
    <w:rsid w:val="00551442"/>
    <w:rsid w:val="00551554"/>
    <w:rsid w:val="00551579"/>
    <w:rsid w:val="00551585"/>
    <w:rsid w:val="005518EF"/>
    <w:rsid w:val="00551F25"/>
    <w:rsid w:val="005520DF"/>
    <w:rsid w:val="00552271"/>
    <w:rsid w:val="00552407"/>
    <w:rsid w:val="00552838"/>
    <w:rsid w:val="005528A2"/>
    <w:rsid w:val="0055295A"/>
    <w:rsid w:val="005529B6"/>
    <w:rsid w:val="00552A0A"/>
    <w:rsid w:val="00552A11"/>
    <w:rsid w:val="00552CEE"/>
    <w:rsid w:val="0055339D"/>
    <w:rsid w:val="00553611"/>
    <w:rsid w:val="00553909"/>
    <w:rsid w:val="00553A23"/>
    <w:rsid w:val="00553A52"/>
    <w:rsid w:val="00553A9D"/>
    <w:rsid w:val="00553B1F"/>
    <w:rsid w:val="00553E86"/>
    <w:rsid w:val="00554109"/>
    <w:rsid w:val="00554188"/>
    <w:rsid w:val="00554208"/>
    <w:rsid w:val="0055421E"/>
    <w:rsid w:val="00554317"/>
    <w:rsid w:val="00554728"/>
    <w:rsid w:val="005547E3"/>
    <w:rsid w:val="00554B4F"/>
    <w:rsid w:val="00554BA6"/>
    <w:rsid w:val="0055547D"/>
    <w:rsid w:val="00555698"/>
    <w:rsid w:val="0055575F"/>
    <w:rsid w:val="00555831"/>
    <w:rsid w:val="005559C2"/>
    <w:rsid w:val="00555A2A"/>
    <w:rsid w:val="00556050"/>
    <w:rsid w:val="005562F7"/>
    <w:rsid w:val="00556528"/>
    <w:rsid w:val="0055658F"/>
    <w:rsid w:val="005567B0"/>
    <w:rsid w:val="00556BBA"/>
    <w:rsid w:val="00556E2A"/>
    <w:rsid w:val="00557043"/>
    <w:rsid w:val="00557180"/>
    <w:rsid w:val="005573B9"/>
    <w:rsid w:val="005573BC"/>
    <w:rsid w:val="005573E7"/>
    <w:rsid w:val="005574AE"/>
    <w:rsid w:val="00557590"/>
    <w:rsid w:val="005577D9"/>
    <w:rsid w:val="00557835"/>
    <w:rsid w:val="00557942"/>
    <w:rsid w:val="005579C2"/>
    <w:rsid w:val="00557A45"/>
    <w:rsid w:val="00557D26"/>
    <w:rsid w:val="00557DAA"/>
    <w:rsid w:val="00560923"/>
    <w:rsid w:val="005609AB"/>
    <w:rsid w:val="00560A4D"/>
    <w:rsid w:val="00560FB3"/>
    <w:rsid w:val="005612C9"/>
    <w:rsid w:val="0056136E"/>
    <w:rsid w:val="00561497"/>
    <w:rsid w:val="00561556"/>
    <w:rsid w:val="00561A3F"/>
    <w:rsid w:val="00561B6F"/>
    <w:rsid w:val="00561C0F"/>
    <w:rsid w:val="00561DA8"/>
    <w:rsid w:val="00561E57"/>
    <w:rsid w:val="00561E81"/>
    <w:rsid w:val="005620DD"/>
    <w:rsid w:val="00562436"/>
    <w:rsid w:val="005624F8"/>
    <w:rsid w:val="0056271A"/>
    <w:rsid w:val="00562C31"/>
    <w:rsid w:val="00562CB2"/>
    <w:rsid w:val="00562E5C"/>
    <w:rsid w:val="00562EC7"/>
    <w:rsid w:val="00562F70"/>
    <w:rsid w:val="0056320C"/>
    <w:rsid w:val="005635EC"/>
    <w:rsid w:val="00563601"/>
    <w:rsid w:val="00563605"/>
    <w:rsid w:val="00563FD5"/>
    <w:rsid w:val="00564C43"/>
    <w:rsid w:val="00564E07"/>
    <w:rsid w:val="00565714"/>
    <w:rsid w:val="00565771"/>
    <w:rsid w:val="00565833"/>
    <w:rsid w:val="00565892"/>
    <w:rsid w:val="00565898"/>
    <w:rsid w:val="00565D49"/>
    <w:rsid w:val="00565D99"/>
    <w:rsid w:val="00565ED5"/>
    <w:rsid w:val="0056639D"/>
    <w:rsid w:val="00566605"/>
    <w:rsid w:val="00566CEE"/>
    <w:rsid w:val="00566FEB"/>
    <w:rsid w:val="0056737E"/>
    <w:rsid w:val="0056743D"/>
    <w:rsid w:val="00567468"/>
    <w:rsid w:val="0056749E"/>
    <w:rsid w:val="00567701"/>
    <w:rsid w:val="005677C0"/>
    <w:rsid w:val="00570005"/>
    <w:rsid w:val="0057000A"/>
    <w:rsid w:val="0057002E"/>
    <w:rsid w:val="00570302"/>
    <w:rsid w:val="005703FD"/>
    <w:rsid w:val="005704DF"/>
    <w:rsid w:val="00570576"/>
    <w:rsid w:val="0057067C"/>
    <w:rsid w:val="005706EE"/>
    <w:rsid w:val="00570843"/>
    <w:rsid w:val="00570A85"/>
    <w:rsid w:val="00570D06"/>
    <w:rsid w:val="0057143D"/>
    <w:rsid w:val="005714C3"/>
    <w:rsid w:val="005714D9"/>
    <w:rsid w:val="00571669"/>
    <w:rsid w:val="005718C1"/>
    <w:rsid w:val="00571D6D"/>
    <w:rsid w:val="00571DDC"/>
    <w:rsid w:val="00571DDD"/>
    <w:rsid w:val="00571FB9"/>
    <w:rsid w:val="005721DB"/>
    <w:rsid w:val="00572344"/>
    <w:rsid w:val="005723DA"/>
    <w:rsid w:val="00572871"/>
    <w:rsid w:val="0057297F"/>
    <w:rsid w:val="00572A60"/>
    <w:rsid w:val="00572C8F"/>
    <w:rsid w:val="00572EF4"/>
    <w:rsid w:val="00572F46"/>
    <w:rsid w:val="005730D3"/>
    <w:rsid w:val="00573FEA"/>
    <w:rsid w:val="0057402E"/>
    <w:rsid w:val="0057459B"/>
    <w:rsid w:val="00574794"/>
    <w:rsid w:val="00574A02"/>
    <w:rsid w:val="00574A43"/>
    <w:rsid w:val="00574A52"/>
    <w:rsid w:val="00574A88"/>
    <w:rsid w:val="00574ACA"/>
    <w:rsid w:val="00574B09"/>
    <w:rsid w:val="00574C70"/>
    <w:rsid w:val="00574DD1"/>
    <w:rsid w:val="0057531A"/>
    <w:rsid w:val="0057534A"/>
    <w:rsid w:val="00575818"/>
    <w:rsid w:val="00575A25"/>
    <w:rsid w:val="00575E04"/>
    <w:rsid w:val="00576363"/>
    <w:rsid w:val="005768A9"/>
    <w:rsid w:val="00576A54"/>
    <w:rsid w:val="00576BB6"/>
    <w:rsid w:val="00576BBA"/>
    <w:rsid w:val="00576EF8"/>
    <w:rsid w:val="005770EC"/>
    <w:rsid w:val="00577467"/>
    <w:rsid w:val="005775F2"/>
    <w:rsid w:val="00577DC6"/>
    <w:rsid w:val="00577FB2"/>
    <w:rsid w:val="0058037D"/>
    <w:rsid w:val="005804EF"/>
    <w:rsid w:val="0058068C"/>
    <w:rsid w:val="00580AEC"/>
    <w:rsid w:val="005810E5"/>
    <w:rsid w:val="00581371"/>
    <w:rsid w:val="00581632"/>
    <w:rsid w:val="005816F4"/>
    <w:rsid w:val="005817B0"/>
    <w:rsid w:val="005819F5"/>
    <w:rsid w:val="00581A2B"/>
    <w:rsid w:val="00581B12"/>
    <w:rsid w:val="00581BDF"/>
    <w:rsid w:val="005821BB"/>
    <w:rsid w:val="0058222C"/>
    <w:rsid w:val="005823D9"/>
    <w:rsid w:val="00582875"/>
    <w:rsid w:val="00582B3B"/>
    <w:rsid w:val="00582D9A"/>
    <w:rsid w:val="00583257"/>
    <w:rsid w:val="00583323"/>
    <w:rsid w:val="00583392"/>
    <w:rsid w:val="00583423"/>
    <w:rsid w:val="00583693"/>
    <w:rsid w:val="00583BD9"/>
    <w:rsid w:val="00583FBE"/>
    <w:rsid w:val="005849FA"/>
    <w:rsid w:val="00584F92"/>
    <w:rsid w:val="00585174"/>
    <w:rsid w:val="0058572B"/>
    <w:rsid w:val="00585796"/>
    <w:rsid w:val="005858EC"/>
    <w:rsid w:val="00585AC7"/>
    <w:rsid w:val="00585ED5"/>
    <w:rsid w:val="00586456"/>
    <w:rsid w:val="005868C6"/>
    <w:rsid w:val="0058708A"/>
    <w:rsid w:val="00587155"/>
    <w:rsid w:val="00587175"/>
    <w:rsid w:val="00587542"/>
    <w:rsid w:val="00587684"/>
    <w:rsid w:val="005877DA"/>
    <w:rsid w:val="00587B48"/>
    <w:rsid w:val="00587D2A"/>
    <w:rsid w:val="00587D36"/>
    <w:rsid w:val="0059038C"/>
    <w:rsid w:val="00590B34"/>
    <w:rsid w:val="005911DC"/>
    <w:rsid w:val="0059121E"/>
    <w:rsid w:val="005917F1"/>
    <w:rsid w:val="00591C4C"/>
    <w:rsid w:val="00591FC2"/>
    <w:rsid w:val="005921E2"/>
    <w:rsid w:val="0059272C"/>
    <w:rsid w:val="00592771"/>
    <w:rsid w:val="005928BF"/>
    <w:rsid w:val="005929FE"/>
    <w:rsid w:val="00592A75"/>
    <w:rsid w:val="00592C9C"/>
    <w:rsid w:val="00592D99"/>
    <w:rsid w:val="00592E87"/>
    <w:rsid w:val="005930C4"/>
    <w:rsid w:val="00593420"/>
    <w:rsid w:val="00593496"/>
    <w:rsid w:val="00593643"/>
    <w:rsid w:val="0059372B"/>
    <w:rsid w:val="00593BE2"/>
    <w:rsid w:val="00593C1C"/>
    <w:rsid w:val="00593DEB"/>
    <w:rsid w:val="00594292"/>
    <w:rsid w:val="0059429F"/>
    <w:rsid w:val="005945AD"/>
    <w:rsid w:val="00594D7C"/>
    <w:rsid w:val="00594E87"/>
    <w:rsid w:val="00594F8D"/>
    <w:rsid w:val="00595028"/>
    <w:rsid w:val="005950E5"/>
    <w:rsid w:val="0059517D"/>
    <w:rsid w:val="0059533B"/>
    <w:rsid w:val="0059583B"/>
    <w:rsid w:val="005959D2"/>
    <w:rsid w:val="005959E0"/>
    <w:rsid w:val="00595B5B"/>
    <w:rsid w:val="00595B6B"/>
    <w:rsid w:val="00595B73"/>
    <w:rsid w:val="005960BE"/>
    <w:rsid w:val="005968D7"/>
    <w:rsid w:val="00596E2E"/>
    <w:rsid w:val="00597234"/>
    <w:rsid w:val="00597309"/>
    <w:rsid w:val="0059747A"/>
    <w:rsid w:val="005974BA"/>
    <w:rsid w:val="00597829"/>
    <w:rsid w:val="005A03FC"/>
    <w:rsid w:val="005A0483"/>
    <w:rsid w:val="005A06B1"/>
    <w:rsid w:val="005A07E0"/>
    <w:rsid w:val="005A095E"/>
    <w:rsid w:val="005A0ADB"/>
    <w:rsid w:val="005A0C1E"/>
    <w:rsid w:val="005A0D25"/>
    <w:rsid w:val="005A114B"/>
    <w:rsid w:val="005A142F"/>
    <w:rsid w:val="005A1689"/>
    <w:rsid w:val="005A1772"/>
    <w:rsid w:val="005A1A4B"/>
    <w:rsid w:val="005A21C1"/>
    <w:rsid w:val="005A24B7"/>
    <w:rsid w:val="005A25E1"/>
    <w:rsid w:val="005A2818"/>
    <w:rsid w:val="005A2866"/>
    <w:rsid w:val="005A2F5A"/>
    <w:rsid w:val="005A368E"/>
    <w:rsid w:val="005A36EF"/>
    <w:rsid w:val="005A37C5"/>
    <w:rsid w:val="005A3ACF"/>
    <w:rsid w:val="005A3F0B"/>
    <w:rsid w:val="005A4119"/>
    <w:rsid w:val="005A441F"/>
    <w:rsid w:val="005A44B5"/>
    <w:rsid w:val="005A4879"/>
    <w:rsid w:val="005A48B1"/>
    <w:rsid w:val="005A4A67"/>
    <w:rsid w:val="005A4CD3"/>
    <w:rsid w:val="005A4FBD"/>
    <w:rsid w:val="005A5144"/>
    <w:rsid w:val="005A51FC"/>
    <w:rsid w:val="005A5532"/>
    <w:rsid w:val="005A5573"/>
    <w:rsid w:val="005A558F"/>
    <w:rsid w:val="005A57BB"/>
    <w:rsid w:val="005A5CE6"/>
    <w:rsid w:val="005A5E01"/>
    <w:rsid w:val="005A607B"/>
    <w:rsid w:val="005A6577"/>
    <w:rsid w:val="005A6745"/>
    <w:rsid w:val="005A698F"/>
    <w:rsid w:val="005A6C15"/>
    <w:rsid w:val="005A6CAF"/>
    <w:rsid w:val="005A6D3F"/>
    <w:rsid w:val="005A6ECB"/>
    <w:rsid w:val="005A6F7C"/>
    <w:rsid w:val="005A718F"/>
    <w:rsid w:val="005A71F5"/>
    <w:rsid w:val="005A743D"/>
    <w:rsid w:val="005A77D9"/>
    <w:rsid w:val="005A7803"/>
    <w:rsid w:val="005A7B7D"/>
    <w:rsid w:val="005B01E3"/>
    <w:rsid w:val="005B044D"/>
    <w:rsid w:val="005B0A26"/>
    <w:rsid w:val="005B0DD8"/>
    <w:rsid w:val="005B0F86"/>
    <w:rsid w:val="005B0FF1"/>
    <w:rsid w:val="005B132F"/>
    <w:rsid w:val="005B1418"/>
    <w:rsid w:val="005B15AE"/>
    <w:rsid w:val="005B15EB"/>
    <w:rsid w:val="005B162F"/>
    <w:rsid w:val="005B1771"/>
    <w:rsid w:val="005B186F"/>
    <w:rsid w:val="005B18B2"/>
    <w:rsid w:val="005B1B45"/>
    <w:rsid w:val="005B2558"/>
    <w:rsid w:val="005B2EA9"/>
    <w:rsid w:val="005B301A"/>
    <w:rsid w:val="005B3285"/>
    <w:rsid w:val="005B3668"/>
    <w:rsid w:val="005B36D4"/>
    <w:rsid w:val="005B38E7"/>
    <w:rsid w:val="005B3924"/>
    <w:rsid w:val="005B3B95"/>
    <w:rsid w:val="005B3B98"/>
    <w:rsid w:val="005B3E9F"/>
    <w:rsid w:val="005B40A6"/>
    <w:rsid w:val="005B420D"/>
    <w:rsid w:val="005B4259"/>
    <w:rsid w:val="005B437A"/>
    <w:rsid w:val="005B46D5"/>
    <w:rsid w:val="005B47BD"/>
    <w:rsid w:val="005B4CF1"/>
    <w:rsid w:val="005B52D7"/>
    <w:rsid w:val="005B53FE"/>
    <w:rsid w:val="005B56B7"/>
    <w:rsid w:val="005B589C"/>
    <w:rsid w:val="005B5943"/>
    <w:rsid w:val="005B59A8"/>
    <w:rsid w:val="005B5AC4"/>
    <w:rsid w:val="005B5AF4"/>
    <w:rsid w:val="005B5E22"/>
    <w:rsid w:val="005B61A1"/>
    <w:rsid w:val="005B6486"/>
    <w:rsid w:val="005B6818"/>
    <w:rsid w:val="005B68C3"/>
    <w:rsid w:val="005B6B76"/>
    <w:rsid w:val="005B6DF4"/>
    <w:rsid w:val="005B6E8F"/>
    <w:rsid w:val="005B6E92"/>
    <w:rsid w:val="005B71C5"/>
    <w:rsid w:val="005B7F9D"/>
    <w:rsid w:val="005C017B"/>
    <w:rsid w:val="005C0180"/>
    <w:rsid w:val="005C01B7"/>
    <w:rsid w:val="005C032C"/>
    <w:rsid w:val="005C0458"/>
    <w:rsid w:val="005C046C"/>
    <w:rsid w:val="005C0EE1"/>
    <w:rsid w:val="005C123E"/>
    <w:rsid w:val="005C123F"/>
    <w:rsid w:val="005C147D"/>
    <w:rsid w:val="005C1B7D"/>
    <w:rsid w:val="005C1EF8"/>
    <w:rsid w:val="005C2127"/>
    <w:rsid w:val="005C2634"/>
    <w:rsid w:val="005C2705"/>
    <w:rsid w:val="005C28AD"/>
    <w:rsid w:val="005C297E"/>
    <w:rsid w:val="005C2A7A"/>
    <w:rsid w:val="005C2A89"/>
    <w:rsid w:val="005C2AE6"/>
    <w:rsid w:val="005C2D57"/>
    <w:rsid w:val="005C2ECC"/>
    <w:rsid w:val="005C2F0D"/>
    <w:rsid w:val="005C3876"/>
    <w:rsid w:val="005C3C70"/>
    <w:rsid w:val="005C3E13"/>
    <w:rsid w:val="005C3F21"/>
    <w:rsid w:val="005C40C4"/>
    <w:rsid w:val="005C4142"/>
    <w:rsid w:val="005C420F"/>
    <w:rsid w:val="005C4636"/>
    <w:rsid w:val="005C466A"/>
    <w:rsid w:val="005C4A6B"/>
    <w:rsid w:val="005C4B03"/>
    <w:rsid w:val="005C4DA7"/>
    <w:rsid w:val="005C502F"/>
    <w:rsid w:val="005C524E"/>
    <w:rsid w:val="005C535F"/>
    <w:rsid w:val="005C53F6"/>
    <w:rsid w:val="005C58E4"/>
    <w:rsid w:val="005C5A18"/>
    <w:rsid w:val="005C5BDB"/>
    <w:rsid w:val="005C5C37"/>
    <w:rsid w:val="005C5D6D"/>
    <w:rsid w:val="005C5FAA"/>
    <w:rsid w:val="005C63AD"/>
    <w:rsid w:val="005C63BD"/>
    <w:rsid w:val="005C66B0"/>
    <w:rsid w:val="005C67A4"/>
    <w:rsid w:val="005C68F9"/>
    <w:rsid w:val="005C6CE7"/>
    <w:rsid w:val="005C6EA8"/>
    <w:rsid w:val="005C6F61"/>
    <w:rsid w:val="005C7462"/>
    <w:rsid w:val="005C790C"/>
    <w:rsid w:val="005C792F"/>
    <w:rsid w:val="005C7D32"/>
    <w:rsid w:val="005C7DDA"/>
    <w:rsid w:val="005C7E2C"/>
    <w:rsid w:val="005C7F5D"/>
    <w:rsid w:val="005C7F93"/>
    <w:rsid w:val="005D000F"/>
    <w:rsid w:val="005D0429"/>
    <w:rsid w:val="005D051C"/>
    <w:rsid w:val="005D05E1"/>
    <w:rsid w:val="005D0C6C"/>
    <w:rsid w:val="005D0F70"/>
    <w:rsid w:val="005D1331"/>
    <w:rsid w:val="005D197A"/>
    <w:rsid w:val="005D1983"/>
    <w:rsid w:val="005D1BCD"/>
    <w:rsid w:val="005D222E"/>
    <w:rsid w:val="005D273A"/>
    <w:rsid w:val="005D2964"/>
    <w:rsid w:val="005D2A79"/>
    <w:rsid w:val="005D2E6E"/>
    <w:rsid w:val="005D2F3E"/>
    <w:rsid w:val="005D3004"/>
    <w:rsid w:val="005D317F"/>
    <w:rsid w:val="005D3482"/>
    <w:rsid w:val="005D3A6F"/>
    <w:rsid w:val="005D3BF6"/>
    <w:rsid w:val="005D3D39"/>
    <w:rsid w:val="005D463E"/>
    <w:rsid w:val="005D46B3"/>
    <w:rsid w:val="005D4921"/>
    <w:rsid w:val="005D4D2B"/>
    <w:rsid w:val="005D4DDB"/>
    <w:rsid w:val="005D5078"/>
    <w:rsid w:val="005D535E"/>
    <w:rsid w:val="005D54B1"/>
    <w:rsid w:val="005D5D10"/>
    <w:rsid w:val="005D5ECC"/>
    <w:rsid w:val="005D6437"/>
    <w:rsid w:val="005D6B4E"/>
    <w:rsid w:val="005D6B74"/>
    <w:rsid w:val="005D6BDA"/>
    <w:rsid w:val="005D6CD7"/>
    <w:rsid w:val="005D6F19"/>
    <w:rsid w:val="005D6F38"/>
    <w:rsid w:val="005D6F56"/>
    <w:rsid w:val="005D728B"/>
    <w:rsid w:val="005D746D"/>
    <w:rsid w:val="005D7482"/>
    <w:rsid w:val="005D75FE"/>
    <w:rsid w:val="005D787E"/>
    <w:rsid w:val="005D7A2F"/>
    <w:rsid w:val="005D7C03"/>
    <w:rsid w:val="005D7C39"/>
    <w:rsid w:val="005E00C7"/>
    <w:rsid w:val="005E035D"/>
    <w:rsid w:val="005E03AB"/>
    <w:rsid w:val="005E05BA"/>
    <w:rsid w:val="005E07C2"/>
    <w:rsid w:val="005E0D74"/>
    <w:rsid w:val="005E0F48"/>
    <w:rsid w:val="005E127C"/>
    <w:rsid w:val="005E12DF"/>
    <w:rsid w:val="005E13DF"/>
    <w:rsid w:val="005E1422"/>
    <w:rsid w:val="005E16F0"/>
    <w:rsid w:val="005E1A77"/>
    <w:rsid w:val="005E1AFD"/>
    <w:rsid w:val="005E1B1C"/>
    <w:rsid w:val="005E1BE0"/>
    <w:rsid w:val="005E1DAB"/>
    <w:rsid w:val="005E208E"/>
    <w:rsid w:val="005E2566"/>
    <w:rsid w:val="005E27C0"/>
    <w:rsid w:val="005E2A63"/>
    <w:rsid w:val="005E2C49"/>
    <w:rsid w:val="005E2D6F"/>
    <w:rsid w:val="005E3154"/>
    <w:rsid w:val="005E33BB"/>
    <w:rsid w:val="005E387D"/>
    <w:rsid w:val="005E3A2E"/>
    <w:rsid w:val="005E3B75"/>
    <w:rsid w:val="005E3BD3"/>
    <w:rsid w:val="005E3D15"/>
    <w:rsid w:val="005E3D48"/>
    <w:rsid w:val="005E3D69"/>
    <w:rsid w:val="005E417A"/>
    <w:rsid w:val="005E4458"/>
    <w:rsid w:val="005E4618"/>
    <w:rsid w:val="005E48E6"/>
    <w:rsid w:val="005E4A37"/>
    <w:rsid w:val="005E4C65"/>
    <w:rsid w:val="005E4C7F"/>
    <w:rsid w:val="005E4E31"/>
    <w:rsid w:val="005E4EEB"/>
    <w:rsid w:val="005E51FD"/>
    <w:rsid w:val="005E5201"/>
    <w:rsid w:val="005E55D4"/>
    <w:rsid w:val="005E55E1"/>
    <w:rsid w:val="005E598E"/>
    <w:rsid w:val="005E5DA5"/>
    <w:rsid w:val="005E5EFB"/>
    <w:rsid w:val="005E5F71"/>
    <w:rsid w:val="005E5F93"/>
    <w:rsid w:val="005E5FE1"/>
    <w:rsid w:val="005E6360"/>
    <w:rsid w:val="005E652A"/>
    <w:rsid w:val="005E66A5"/>
    <w:rsid w:val="005E66F0"/>
    <w:rsid w:val="005E6BDA"/>
    <w:rsid w:val="005E6DB0"/>
    <w:rsid w:val="005E6FEE"/>
    <w:rsid w:val="005E72EC"/>
    <w:rsid w:val="005E77EB"/>
    <w:rsid w:val="005E7910"/>
    <w:rsid w:val="005E793F"/>
    <w:rsid w:val="005F0292"/>
    <w:rsid w:val="005F038C"/>
    <w:rsid w:val="005F03C7"/>
    <w:rsid w:val="005F0482"/>
    <w:rsid w:val="005F0939"/>
    <w:rsid w:val="005F09CC"/>
    <w:rsid w:val="005F0DC2"/>
    <w:rsid w:val="005F0F98"/>
    <w:rsid w:val="005F115B"/>
    <w:rsid w:val="005F1455"/>
    <w:rsid w:val="005F16DD"/>
    <w:rsid w:val="005F17E2"/>
    <w:rsid w:val="005F1981"/>
    <w:rsid w:val="005F1AEA"/>
    <w:rsid w:val="005F1CF0"/>
    <w:rsid w:val="005F2220"/>
    <w:rsid w:val="005F2480"/>
    <w:rsid w:val="005F2855"/>
    <w:rsid w:val="005F2946"/>
    <w:rsid w:val="005F2974"/>
    <w:rsid w:val="005F2D51"/>
    <w:rsid w:val="005F2E1F"/>
    <w:rsid w:val="005F3209"/>
    <w:rsid w:val="005F3401"/>
    <w:rsid w:val="005F34C6"/>
    <w:rsid w:val="005F3561"/>
    <w:rsid w:val="005F3E24"/>
    <w:rsid w:val="005F4277"/>
    <w:rsid w:val="005F4318"/>
    <w:rsid w:val="005F46EB"/>
    <w:rsid w:val="005F497B"/>
    <w:rsid w:val="005F4A94"/>
    <w:rsid w:val="005F4ACB"/>
    <w:rsid w:val="005F4C34"/>
    <w:rsid w:val="005F4E67"/>
    <w:rsid w:val="005F4F8E"/>
    <w:rsid w:val="005F4FC2"/>
    <w:rsid w:val="005F5062"/>
    <w:rsid w:val="005F54A4"/>
    <w:rsid w:val="005F57CF"/>
    <w:rsid w:val="005F58AF"/>
    <w:rsid w:val="005F5920"/>
    <w:rsid w:val="005F59FF"/>
    <w:rsid w:val="005F5DFC"/>
    <w:rsid w:val="005F6093"/>
    <w:rsid w:val="005F646F"/>
    <w:rsid w:val="005F653E"/>
    <w:rsid w:val="005F6762"/>
    <w:rsid w:val="005F685A"/>
    <w:rsid w:val="005F68BC"/>
    <w:rsid w:val="005F6ACA"/>
    <w:rsid w:val="005F6E55"/>
    <w:rsid w:val="005F6FDA"/>
    <w:rsid w:val="005F70F9"/>
    <w:rsid w:val="005F71D1"/>
    <w:rsid w:val="005F743A"/>
    <w:rsid w:val="005F79D2"/>
    <w:rsid w:val="005F7B5C"/>
    <w:rsid w:val="005F7CE9"/>
    <w:rsid w:val="005F7D13"/>
    <w:rsid w:val="005F7F3E"/>
    <w:rsid w:val="005F7F73"/>
    <w:rsid w:val="00600135"/>
    <w:rsid w:val="0060035F"/>
    <w:rsid w:val="00600430"/>
    <w:rsid w:val="00600603"/>
    <w:rsid w:val="0060072B"/>
    <w:rsid w:val="00600FE6"/>
    <w:rsid w:val="006010A5"/>
    <w:rsid w:val="006011B7"/>
    <w:rsid w:val="006017D2"/>
    <w:rsid w:val="00601837"/>
    <w:rsid w:val="006018AC"/>
    <w:rsid w:val="00601A81"/>
    <w:rsid w:val="00601CC4"/>
    <w:rsid w:val="00601E01"/>
    <w:rsid w:val="00602408"/>
    <w:rsid w:val="00602622"/>
    <w:rsid w:val="00602B1F"/>
    <w:rsid w:val="00603050"/>
    <w:rsid w:val="006031A2"/>
    <w:rsid w:val="00603299"/>
    <w:rsid w:val="006034A0"/>
    <w:rsid w:val="006035A1"/>
    <w:rsid w:val="00603FE1"/>
    <w:rsid w:val="006040D4"/>
    <w:rsid w:val="006043A6"/>
    <w:rsid w:val="006043F1"/>
    <w:rsid w:val="00604A53"/>
    <w:rsid w:val="00604B34"/>
    <w:rsid w:val="00604C6E"/>
    <w:rsid w:val="00604EE6"/>
    <w:rsid w:val="0060504B"/>
    <w:rsid w:val="00605383"/>
    <w:rsid w:val="0060582C"/>
    <w:rsid w:val="00605E57"/>
    <w:rsid w:val="00605EC1"/>
    <w:rsid w:val="006062FB"/>
    <w:rsid w:val="00606769"/>
    <w:rsid w:val="00606BA0"/>
    <w:rsid w:val="00606C47"/>
    <w:rsid w:val="00606F56"/>
    <w:rsid w:val="00607139"/>
    <w:rsid w:val="00607205"/>
    <w:rsid w:val="00607342"/>
    <w:rsid w:val="006074E4"/>
    <w:rsid w:val="006076B6"/>
    <w:rsid w:val="00607D3D"/>
    <w:rsid w:val="006107C8"/>
    <w:rsid w:val="00610A06"/>
    <w:rsid w:val="00610E13"/>
    <w:rsid w:val="006112D1"/>
    <w:rsid w:val="006112FA"/>
    <w:rsid w:val="00611AEF"/>
    <w:rsid w:val="00612386"/>
    <w:rsid w:val="006123E9"/>
    <w:rsid w:val="00612571"/>
    <w:rsid w:val="006127D4"/>
    <w:rsid w:val="00612843"/>
    <w:rsid w:val="0061378D"/>
    <w:rsid w:val="00613940"/>
    <w:rsid w:val="00613947"/>
    <w:rsid w:val="00613A39"/>
    <w:rsid w:val="00613CDA"/>
    <w:rsid w:val="00613E37"/>
    <w:rsid w:val="006141D4"/>
    <w:rsid w:val="006147AF"/>
    <w:rsid w:val="00614A38"/>
    <w:rsid w:val="00614E95"/>
    <w:rsid w:val="00615035"/>
    <w:rsid w:val="0061525F"/>
    <w:rsid w:val="0061527F"/>
    <w:rsid w:val="00615777"/>
    <w:rsid w:val="00615865"/>
    <w:rsid w:val="006158AD"/>
    <w:rsid w:val="00615B17"/>
    <w:rsid w:val="00615B73"/>
    <w:rsid w:val="00615C61"/>
    <w:rsid w:val="00615CF5"/>
    <w:rsid w:val="00615EC6"/>
    <w:rsid w:val="0061600C"/>
    <w:rsid w:val="006171F8"/>
    <w:rsid w:val="00617381"/>
    <w:rsid w:val="006177D1"/>
    <w:rsid w:val="006177F8"/>
    <w:rsid w:val="00617BBA"/>
    <w:rsid w:val="0062000C"/>
    <w:rsid w:val="006201E7"/>
    <w:rsid w:val="00620205"/>
    <w:rsid w:val="0062044B"/>
    <w:rsid w:val="0062069D"/>
    <w:rsid w:val="00620800"/>
    <w:rsid w:val="0062096D"/>
    <w:rsid w:val="006209FC"/>
    <w:rsid w:val="00621508"/>
    <w:rsid w:val="00621891"/>
    <w:rsid w:val="0062196A"/>
    <w:rsid w:val="00622375"/>
    <w:rsid w:val="00622393"/>
    <w:rsid w:val="00622599"/>
    <w:rsid w:val="00622929"/>
    <w:rsid w:val="0062295A"/>
    <w:rsid w:val="00622A6F"/>
    <w:rsid w:val="00622D42"/>
    <w:rsid w:val="00622F63"/>
    <w:rsid w:val="006230E3"/>
    <w:rsid w:val="00623402"/>
    <w:rsid w:val="00623434"/>
    <w:rsid w:val="006239E5"/>
    <w:rsid w:val="00623ACC"/>
    <w:rsid w:val="00623C44"/>
    <w:rsid w:val="00624485"/>
    <w:rsid w:val="00624B34"/>
    <w:rsid w:val="00624CC8"/>
    <w:rsid w:val="00624D74"/>
    <w:rsid w:val="00624EB9"/>
    <w:rsid w:val="00625391"/>
    <w:rsid w:val="00625449"/>
    <w:rsid w:val="00625AE6"/>
    <w:rsid w:val="00625B93"/>
    <w:rsid w:val="00625F84"/>
    <w:rsid w:val="006261F1"/>
    <w:rsid w:val="006264ED"/>
    <w:rsid w:val="006266B9"/>
    <w:rsid w:val="006266F5"/>
    <w:rsid w:val="006267CC"/>
    <w:rsid w:val="00626AD6"/>
    <w:rsid w:val="00626C51"/>
    <w:rsid w:val="00626CFD"/>
    <w:rsid w:val="00626F2B"/>
    <w:rsid w:val="00626F90"/>
    <w:rsid w:val="0062722B"/>
    <w:rsid w:val="006272B9"/>
    <w:rsid w:val="006272EC"/>
    <w:rsid w:val="0062769F"/>
    <w:rsid w:val="006277AC"/>
    <w:rsid w:val="0063028F"/>
    <w:rsid w:val="006305A4"/>
    <w:rsid w:val="00630826"/>
    <w:rsid w:val="006308E9"/>
    <w:rsid w:val="00630BB1"/>
    <w:rsid w:val="00630EAD"/>
    <w:rsid w:val="006312E9"/>
    <w:rsid w:val="006313FE"/>
    <w:rsid w:val="00631462"/>
    <w:rsid w:val="0063158E"/>
    <w:rsid w:val="00631989"/>
    <w:rsid w:val="00631A58"/>
    <w:rsid w:val="00631A5F"/>
    <w:rsid w:val="00631DEF"/>
    <w:rsid w:val="006320AF"/>
    <w:rsid w:val="00632247"/>
    <w:rsid w:val="00632E6F"/>
    <w:rsid w:val="00632F9C"/>
    <w:rsid w:val="006330F0"/>
    <w:rsid w:val="00633563"/>
    <w:rsid w:val="006336E5"/>
    <w:rsid w:val="006338DD"/>
    <w:rsid w:val="00633CFF"/>
    <w:rsid w:val="006345F0"/>
    <w:rsid w:val="006347A2"/>
    <w:rsid w:val="00634D12"/>
    <w:rsid w:val="00634E8A"/>
    <w:rsid w:val="00634EE3"/>
    <w:rsid w:val="00635A0A"/>
    <w:rsid w:val="00635D6D"/>
    <w:rsid w:val="00635EC7"/>
    <w:rsid w:val="006360D6"/>
    <w:rsid w:val="006361DB"/>
    <w:rsid w:val="00636271"/>
    <w:rsid w:val="006362D2"/>
    <w:rsid w:val="00636308"/>
    <w:rsid w:val="0063630B"/>
    <w:rsid w:val="00636864"/>
    <w:rsid w:val="00636AEC"/>
    <w:rsid w:val="00636B0F"/>
    <w:rsid w:val="00636D62"/>
    <w:rsid w:val="00636FD8"/>
    <w:rsid w:val="00637180"/>
    <w:rsid w:val="006373DF"/>
    <w:rsid w:val="00637F47"/>
    <w:rsid w:val="00637F56"/>
    <w:rsid w:val="006400DF"/>
    <w:rsid w:val="00640307"/>
    <w:rsid w:val="00640465"/>
    <w:rsid w:val="006405ED"/>
    <w:rsid w:val="006409AC"/>
    <w:rsid w:val="00640ABE"/>
    <w:rsid w:val="00640F09"/>
    <w:rsid w:val="00640F84"/>
    <w:rsid w:val="0064116B"/>
    <w:rsid w:val="00641596"/>
    <w:rsid w:val="00641843"/>
    <w:rsid w:val="006420D2"/>
    <w:rsid w:val="00642285"/>
    <w:rsid w:val="006423C1"/>
    <w:rsid w:val="0064260F"/>
    <w:rsid w:val="00642C32"/>
    <w:rsid w:val="00643071"/>
    <w:rsid w:val="006430C0"/>
    <w:rsid w:val="006430F4"/>
    <w:rsid w:val="00643265"/>
    <w:rsid w:val="00643432"/>
    <w:rsid w:val="0064392E"/>
    <w:rsid w:val="00643C3E"/>
    <w:rsid w:val="00643C5A"/>
    <w:rsid w:val="00643DCB"/>
    <w:rsid w:val="00643E8B"/>
    <w:rsid w:val="00643EAB"/>
    <w:rsid w:val="00644012"/>
    <w:rsid w:val="006443E4"/>
    <w:rsid w:val="00644F0E"/>
    <w:rsid w:val="00645FF3"/>
    <w:rsid w:val="006461B0"/>
    <w:rsid w:val="00646230"/>
    <w:rsid w:val="0064633C"/>
    <w:rsid w:val="006465DE"/>
    <w:rsid w:val="006466F7"/>
    <w:rsid w:val="00646851"/>
    <w:rsid w:val="00646852"/>
    <w:rsid w:val="006468DA"/>
    <w:rsid w:val="00646C7E"/>
    <w:rsid w:val="00646DF7"/>
    <w:rsid w:val="00646FB8"/>
    <w:rsid w:val="006472AB"/>
    <w:rsid w:val="00647391"/>
    <w:rsid w:val="00647DDD"/>
    <w:rsid w:val="00647E53"/>
    <w:rsid w:val="0065009D"/>
    <w:rsid w:val="006500B7"/>
    <w:rsid w:val="0065010C"/>
    <w:rsid w:val="0065021A"/>
    <w:rsid w:val="006502FA"/>
    <w:rsid w:val="006512C0"/>
    <w:rsid w:val="006519DD"/>
    <w:rsid w:val="00651AC0"/>
    <w:rsid w:val="006522F3"/>
    <w:rsid w:val="00652481"/>
    <w:rsid w:val="00652684"/>
    <w:rsid w:val="00652690"/>
    <w:rsid w:val="00652B46"/>
    <w:rsid w:val="00652C05"/>
    <w:rsid w:val="00653021"/>
    <w:rsid w:val="006531F9"/>
    <w:rsid w:val="00653297"/>
    <w:rsid w:val="0065394F"/>
    <w:rsid w:val="00653AF4"/>
    <w:rsid w:val="00653C62"/>
    <w:rsid w:val="00653D8D"/>
    <w:rsid w:val="00653E30"/>
    <w:rsid w:val="00653EA4"/>
    <w:rsid w:val="00654010"/>
    <w:rsid w:val="00654394"/>
    <w:rsid w:val="00654484"/>
    <w:rsid w:val="00654C3C"/>
    <w:rsid w:val="00654CE8"/>
    <w:rsid w:val="00655126"/>
    <w:rsid w:val="00655581"/>
    <w:rsid w:val="006558BE"/>
    <w:rsid w:val="00655A79"/>
    <w:rsid w:val="00655F25"/>
    <w:rsid w:val="00656103"/>
    <w:rsid w:val="00656212"/>
    <w:rsid w:val="00656685"/>
    <w:rsid w:val="00656A1A"/>
    <w:rsid w:val="00656CFD"/>
    <w:rsid w:val="00656EB0"/>
    <w:rsid w:val="00657E54"/>
    <w:rsid w:val="00660DAD"/>
    <w:rsid w:val="00661313"/>
    <w:rsid w:val="00661651"/>
    <w:rsid w:val="0066175C"/>
    <w:rsid w:val="0066176F"/>
    <w:rsid w:val="006618F3"/>
    <w:rsid w:val="00661D69"/>
    <w:rsid w:val="00661DB3"/>
    <w:rsid w:val="00662047"/>
    <w:rsid w:val="0066220D"/>
    <w:rsid w:val="00662355"/>
    <w:rsid w:val="0066259C"/>
    <w:rsid w:val="006625ED"/>
    <w:rsid w:val="00662655"/>
    <w:rsid w:val="00662996"/>
    <w:rsid w:val="0066299C"/>
    <w:rsid w:val="00662BC9"/>
    <w:rsid w:val="00662E9B"/>
    <w:rsid w:val="00663150"/>
    <w:rsid w:val="006631F4"/>
    <w:rsid w:val="006633BA"/>
    <w:rsid w:val="006639F0"/>
    <w:rsid w:val="00663B4F"/>
    <w:rsid w:val="00663B62"/>
    <w:rsid w:val="00664034"/>
    <w:rsid w:val="00664385"/>
    <w:rsid w:val="0066438D"/>
    <w:rsid w:val="00664A8F"/>
    <w:rsid w:val="00664AF4"/>
    <w:rsid w:val="00664B95"/>
    <w:rsid w:val="00664D57"/>
    <w:rsid w:val="00664F95"/>
    <w:rsid w:val="00664FF3"/>
    <w:rsid w:val="0066522A"/>
    <w:rsid w:val="006652EB"/>
    <w:rsid w:val="006658B2"/>
    <w:rsid w:val="00665D41"/>
    <w:rsid w:val="00665EFF"/>
    <w:rsid w:val="0066622B"/>
    <w:rsid w:val="006662DC"/>
    <w:rsid w:val="00666532"/>
    <w:rsid w:val="006667DC"/>
    <w:rsid w:val="006669C4"/>
    <w:rsid w:val="00666A71"/>
    <w:rsid w:val="00667089"/>
    <w:rsid w:val="00667149"/>
    <w:rsid w:val="006673E8"/>
    <w:rsid w:val="00667747"/>
    <w:rsid w:val="006677AB"/>
    <w:rsid w:val="00667879"/>
    <w:rsid w:val="00667AD3"/>
    <w:rsid w:val="00667B22"/>
    <w:rsid w:val="00667D64"/>
    <w:rsid w:val="00667EF1"/>
    <w:rsid w:val="0067015F"/>
    <w:rsid w:val="00670244"/>
    <w:rsid w:val="00670D64"/>
    <w:rsid w:val="00670D7D"/>
    <w:rsid w:val="00670ECE"/>
    <w:rsid w:val="00670FD4"/>
    <w:rsid w:val="006710BD"/>
    <w:rsid w:val="006710C1"/>
    <w:rsid w:val="00671689"/>
    <w:rsid w:val="00671896"/>
    <w:rsid w:val="006719FA"/>
    <w:rsid w:val="00672351"/>
    <w:rsid w:val="00672583"/>
    <w:rsid w:val="0067265E"/>
    <w:rsid w:val="00672739"/>
    <w:rsid w:val="00672ADC"/>
    <w:rsid w:val="00672CFB"/>
    <w:rsid w:val="00672EBF"/>
    <w:rsid w:val="0067304E"/>
    <w:rsid w:val="0067306C"/>
    <w:rsid w:val="00673B17"/>
    <w:rsid w:val="00673B55"/>
    <w:rsid w:val="00673BFA"/>
    <w:rsid w:val="00673C33"/>
    <w:rsid w:val="00673CA6"/>
    <w:rsid w:val="006741EE"/>
    <w:rsid w:val="00674280"/>
    <w:rsid w:val="006742F2"/>
    <w:rsid w:val="00674461"/>
    <w:rsid w:val="006744DB"/>
    <w:rsid w:val="00674533"/>
    <w:rsid w:val="006745E5"/>
    <w:rsid w:val="006746E8"/>
    <w:rsid w:val="00674A9C"/>
    <w:rsid w:val="00674FEA"/>
    <w:rsid w:val="006750AF"/>
    <w:rsid w:val="006753BF"/>
    <w:rsid w:val="00675952"/>
    <w:rsid w:val="0067595C"/>
    <w:rsid w:val="00675BA1"/>
    <w:rsid w:val="006761E5"/>
    <w:rsid w:val="0067637D"/>
    <w:rsid w:val="006767FB"/>
    <w:rsid w:val="00676885"/>
    <w:rsid w:val="00676E16"/>
    <w:rsid w:val="00677558"/>
    <w:rsid w:val="006775E2"/>
    <w:rsid w:val="00677A0E"/>
    <w:rsid w:val="00677E20"/>
    <w:rsid w:val="00677F35"/>
    <w:rsid w:val="00677F6B"/>
    <w:rsid w:val="00680579"/>
    <w:rsid w:val="00680A2A"/>
    <w:rsid w:val="00680ED3"/>
    <w:rsid w:val="0068117B"/>
    <w:rsid w:val="00681181"/>
    <w:rsid w:val="006816E6"/>
    <w:rsid w:val="00681805"/>
    <w:rsid w:val="00681EA2"/>
    <w:rsid w:val="00682099"/>
    <w:rsid w:val="00682559"/>
    <w:rsid w:val="00682739"/>
    <w:rsid w:val="00682923"/>
    <w:rsid w:val="00682B25"/>
    <w:rsid w:val="00682B74"/>
    <w:rsid w:val="00682BF1"/>
    <w:rsid w:val="00682DEB"/>
    <w:rsid w:val="00682E63"/>
    <w:rsid w:val="00682F16"/>
    <w:rsid w:val="00683115"/>
    <w:rsid w:val="0068343B"/>
    <w:rsid w:val="0068354B"/>
    <w:rsid w:val="00683C26"/>
    <w:rsid w:val="00683C43"/>
    <w:rsid w:val="00683D4B"/>
    <w:rsid w:val="00683DA8"/>
    <w:rsid w:val="0068429C"/>
    <w:rsid w:val="006843B1"/>
    <w:rsid w:val="006849ED"/>
    <w:rsid w:val="00684C8C"/>
    <w:rsid w:val="00685860"/>
    <w:rsid w:val="00685A22"/>
    <w:rsid w:val="00686063"/>
    <w:rsid w:val="0068640D"/>
    <w:rsid w:val="006865E5"/>
    <w:rsid w:val="00686648"/>
    <w:rsid w:val="0068687B"/>
    <w:rsid w:val="00686964"/>
    <w:rsid w:val="00686EE4"/>
    <w:rsid w:val="00687203"/>
    <w:rsid w:val="00687239"/>
    <w:rsid w:val="0068737A"/>
    <w:rsid w:val="00687670"/>
    <w:rsid w:val="006878D6"/>
    <w:rsid w:val="00687E69"/>
    <w:rsid w:val="00690254"/>
    <w:rsid w:val="00690542"/>
    <w:rsid w:val="00690B43"/>
    <w:rsid w:val="00690FEF"/>
    <w:rsid w:val="006912C7"/>
    <w:rsid w:val="00691481"/>
    <w:rsid w:val="006914BF"/>
    <w:rsid w:val="00691A2E"/>
    <w:rsid w:val="00691C51"/>
    <w:rsid w:val="00692233"/>
    <w:rsid w:val="0069224E"/>
    <w:rsid w:val="00692279"/>
    <w:rsid w:val="0069238B"/>
    <w:rsid w:val="00692842"/>
    <w:rsid w:val="006929F2"/>
    <w:rsid w:val="00692F84"/>
    <w:rsid w:val="006931C4"/>
    <w:rsid w:val="00693730"/>
    <w:rsid w:val="0069376A"/>
    <w:rsid w:val="00693A05"/>
    <w:rsid w:val="00693D3E"/>
    <w:rsid w:val="00693FB4"/>
    <w:rsid w:val="00694CBA"/>
    <w:rsid w:val="00694D8A"/>
    <w:rsid w:val="00694F3D"/>
    <w:rsid w:val="00695258"/>
    <w:rsid w:val="00695A33"/>
    <w:rsid w:val="00695C80"/>
    <w:rsid w:val="00695F54"/>
    <w:rsid w:val="006960D3"/>
    <w:rsid w:val="0069632D"/>
    <w:rsid w:val="006963EE"/>
    <w:rsid w:val="00696549"/>
    <w:rsid w:val="0069675D"/>
    <w:rsid w:val="00696821"/>
    <w:rsid w:val="00696D9E"/>
    <w:rsid w:val="006971A7"/>
    <w:rsid w:val="006971CF"/>
    <w:rsid w:val="006972BF"/>
    <w:rsid w:val="0069731E"/>
    <w:rsid w:val="0069783B"/>
    <w:rsid w:val="006978CE"/>
    <w:rsid w:val="00697948"/>
    <w:rsid w:val="00697AD5"/>
    <w:rsid w:val="00697B8D"/>
    <w:rsid w:val="006A032B"/>
    <w:rsid w:val="006A03C9"/>
    <w:rsid w:val="006A040F"/>
    <w:rsid w:val="006A0F94"/>
    <w:rsid w:val="006A16A2"/>
    <w:rsid w:val="006A17E1"/>
    <w:rsid w:val="006A18B6"/>
    <w:rsid w:val="006A1D82"/>
    <w:rsid w:val="006A1EDC"/>
    <w:rsid w:val="006A1F7B"/>
    <w:rsid w:val="006A1FF2"/>
    <w:rsid w:val="006A2013"/>
    <w:rsid w:val="006A206D"/>
    <w:rsid w:val="006A280D"/>
    <w:rsid w:val="006A2823"/>
    <w:rsid w:val="006A29A6"/>
    <w:rsid w:val="006A2C32"/>
    <w:rsid w:val="006A2DBC"/>
    <w:rsid w:val="006A341D"/>
    <w:rsid w:val="006A371B"/>
    <w:rsid w:val="006A3876"/>
    <w:rsid w:val="006A3D76"/>
    <w:rsid w:val="006A3FA0"/>
    <w:rsid w:val="006A4342"/>
    <w:rsid w:val="006A4694"/>
    <w:rsid w:val="006A46EE"/>
    <w:rsid w:val="006A48B3"/>
    <w:rsid w:val="006A48E1"/>
    <w:rsid w:val="006A535D"/>
    <w:rsid w:val="006A55A0"/>
    <w:rsid w:val="006A5812"/>
    <w:rsid w:val="006A581A"/>
    <w:rsid w:val="006A58D0"/>
    <w:rsid w:val="006A5B0F"/>
    <w:rsid w:val="006A5B4A"/>
    <w:rsid w:val="006A5C02"/>
    <w:rsid w:val="006A5ED6"/>
    <w:rsid w:val="006A5F5E"/>
    <w:rsid w:val="006A5FF3"/>
    <w:rsid w:val="006A6051"/>
    <w:rsid w:val="006A60C1"/>
    <w:rsid w:val="006A61D2"/>
    <w:rsid w:val="006A62ED"/>
    <w:rsid w:val="006A66B5"/>
    <w:rsid w:val="006A6A21"/>
    <w:rsid w:val="006A6A8C"/>
    <w:rsid w:val="006A6B26"/>
    <w:rsid w:val="006A6C16"/>
    <w:rsid w:val="006A706C"/>
    <w:rsid w:val="006A72FE"/>
    <w:rsid w:val="006A76F2"/>
    <w:rsid w:val="006A7CE7"/>
    <w:rsid w:val="006B0233"/>
    <w:rsid w:val="006B0562"/>
    <w:rsid w:val="006B0F31"/>
    <w:rsid w:val="006B0F44"/>
    <w:rsid w:val="006B156B"/>
    <w:rsid w:val="006B18FB"/>
    <w:rsid w:val="006B1B36"/>
    <w:rsid w:val="006B1C38"/>
    <w:rsid w:val="006B1C99"/>
    <w:rsid w:val="006B1DD2"/>
    <w:rsid w:val="006B20C2"/>
    <w:rsid w:val="006B20CE"/>
    <w:rsid w:val="006B20EE"/>
    <w:rsid w:val="006B24DC"/>
    <w:rsid w:val="006B2A73"/>
    <w:rsid w:val="006B2ADE"/>
    <w:rsid w:val="006B3702"/>
    <w:rsid w:val="006B3AFB"/>
    <w:rsid w:val="006B3B36"/>
    <w:rsid w:val="006B3B5B"/>
    <w:rsid w:val="006B3C97"/>
    <w:rsid w:val="006B3DFA"/>
    <w:rsid w:val="006B4028"/>
    <w:rsid w:val="006B4449"/>
    <w:rsid w:val="006B4826"/>
    <w:rsid w:val="006B4DAA"/>
    <w:rsid w:val="006B4F38"/>
    <w:rsid w:val="006B50E0"/>
    <w:rsid w:val="006B51D7"/>
    <w:rsid w:val="006B54AF"/>
    <w:rsid w:val="006B5A48"/>
    <w:rsid w:val="006B5ABD"/>
    <w:rsid w:val="006B5B8D"/>
    <w:rsid w:val="006B5D36"/>
    <w:rsid w:val="006B5FBA"/>
    <w:rsid w:val="006B63EA"/>
    <w:rsid w:val="006B648D"/>
    <w:rsid w:val="006B64AB"/>
    <w:rsid w:val="006B6675"/>
    <w:rsid w:val="006B6867"/>
    <w:rsid w:val="006B6ACF"/>
    <w:rsid w:val="006B6B8D"/>
    <w:rsid w:val="006B6F26"/>
    <w:rsid w:val="006B703A"/>
    <w:rsid w:val="006B7423"/>
    <w:rsid w:val="006B7651"/>
    <w:rsid w:val="006B78D1"/>
    <w:rsid w:val="006B7B6C"/>
    <w:rsid w:val="006B7D64"/>
    <w:rsid w:val="006C0359"/>
    <w:rsid w:val="006C0942"/>
    <w:rsid w:val="006C10A4"/>
    <w:rsid w:val="006C1614"/>
    <w:rsid w:val="006C177D"/>
    <w:rsid w:val="006C1896"/>
    <w:rsid w:val="006C1BE6"/>
    <w:rsid w:val="006C1D60"/>
    <w:rsid w:val="006C1D8C"/>
    <w:rsid w:val="006C1DE7"/>
    <w:rsid w:val="006C1FD7"/>
    <w:rsid w:val="006C222A"/>
    <w:rsid w:val="006C2557"/>
    <w:rsid w:val="006C26E6"/>
    <w:rsid w:val="006C2944"/>
    <w:rsid w:val="006C2A4C"/>
    <w:rsid w:val="006C2E9A"/>
    <w:rsid w:val="006C3583"/>
    <w:rsid w:val="006C373A"/>
    <w:rsid w:val="006C3BEF"/>
    <w:rsid w:val="006C3C5B"/>
    <w:rsid w:val="006C3D1C"/>
    <w:rsid w:val="006C3D35"/>
    <w:rsid w:val="006C4092"/>
    <w:rsid w:val="006C41D1"/>
    <w:rsid w:val="006C4230"/>
    <w:rsid w:val="006C43CB"/>
    <w:rsid w:val="006C49CD"/>
    <w:rsid w:val="006C519F"/>
    <w:rsid w:val="006C51D5"/>
    <w:rsid w:val="006C525B"/>
    <w:rsid w:val="006C5687"/>
    <w:rsid w:val="006C584F"/>
    <w:rsid w:val="006C6170"/>
    <w:rsid w:val="006C6196"/>
    <w:rsid w:val="006C62B1"/>
    <w:rsid w:val="006C68B1"/>
    <w:rsid w:val="006C6BAC"/>
    <w:rsid w:val="006C6DA8"/>
    <w:rsid w:val="006C6DF3"/>
    <w:rsid w:val="006C6F4B"/>
    <w:rsid w:val="006C76AB"/>
    <w:rsid w:val="006C7ABF"/>
    <w:rsid w:val="006C7B9E"/>
    <w:rsid w:val="006C7D30"/>
    <w:rsid w:val="006D096E"/>
    <w:rsid w:val="006D0E5A"/>
    <w:rsid w:val="006D1004"/>
    <w:rsid w:val="006D12F3"/>
    <w:rsid w:val="006D14E2"/>
    <w:rsid w:val="006D180A"/>
    <w:rsid w:val="006D1E49"/>
    <w:rsid w:val="006D1EC7"/>
    <w:rsid w:val="006D2338"/>
    <w:rsid w:val="006D2553"/>
    <w:rsid w:val="006D27AF"/>
    <w:rsid w:val="006D28AB"/>
    <w:rsid w:val="006D2B77"/>
    <w:rsid w:val="006D308E"/>
    <w:rsid w:val="006D323D"/>
    <w:rsid w:val="006D327E"/>
    <w:rsid w:val="006D36A1"/>
    <w:rsid w:val="006D36B1"/>
    <w:rsid w:val="006D3791"/>
    <w:rsid w:val="006D3B3F"/>
    <w:rsid w:val="006D3C1F"/>
    <w:rsid w:val="006D432E"/>
    <w:rsid w:val="006D45C4"/>
    <w:rsid w:val="006D465A"/>
    <w:rsid w:val="006D473F"/>
    <w:rsid w:val="006D4D97"/>
    <w:rsid w:val="006D4E8E"/>
    <w:rsid w:val="006D4F1D"/>
    <w:rsid w:val="006D51A2"/>
    <w:rsid w:val="006D53A5"/>
    <w:rsid w:val="006D56F1"/>
    <w:rsid w:val="006D5B0E"/>
    <w:rsid w:val="006D607A"/>
    <w:rsid w:val="006D668C"/>
    <w:rsid w:val="006D67A7"/>
    <w:rsid w:val="006D6D02"/>
    <w:rsid w:val="006D70EA"/>
    <w:rsid w:val="006D7382"/>
    <w:rsid w:val="006D757E"/>
    <w:rsid w:val="006D780C"/>
    <w:rsid w:val="006D7958"/>
    <w:rsid w:val="006D79B8"/>
    <w:rsid w:val="006D7BEF"/>
    <w:rsid w:val="006E0348"/>
    <w:rsid w:val="006E065C"/>
    <w:rsid w:val="006E06DB"/>
    <w:rsid w:val="006E072A"/>
    <w:rsid w:val="006E1368"/>
    <w:rsid w:val="006E13A3"/>
    <w:rsid w:val="006E1449"/>
    <w:rsid w:val="006E1736"/>
    <w:rsid w:val="006E17E3"/>
    <w:rsid w:val="006E183C"/>
    <w:rsid w:val="006E191D"/>
    <w:rsid w:val="006E1B3B"/>
    <w:rsid w:val="006E1C9A"/>
    <w:rsid w:val="006E1CF4"/>
    <w:rsid w:val="006E1F01"/>
    <w:rsid w:val="006E2030"/>
    <w:rsid w:val="006E20D3"/>
    <w:rsid w:val="006E2282"/>
    <w:rsid w:val="006E2326"/>
    <w:rsid w:val="006E2525"/>
    <w:rsid w:val="006E259D"/>
    <w:rsid w:val="006E288B"/>
    <w:rsid w:val="006E293E"/>
    <w:rsid w:val="006E2A55"/>
    <w:rsid w:val="006E2B8E"/>
    <w:rsid w:val="006E3026"/>
    <w:rsid w:val="006E3537"/>
    <w:rsid w:val="006E35CC"/>
    <w:rsid w:val="006E392A"/>
    <w:rsid w:val="006E3CD8"/>
    <w:rsid w:val="006E3F75"/>
    <w:rsid w:val="006E422D"/>
    <w:rsid w:val="006E4584"/>
    <w:rsid w:val="006E471C"/>
    <w:rsid w:val="006E4894"/>
    <w:rsid w:val="006E48E9"/>
    <w:rsid w:val="006E492E"/>
    <w:rsid w:val="006E4C00"/>
    <w:rsid w:val="006E4C39"/>
    <w:rsid w:val="006E4DE8"/>
    <w:rsid w:val="006E51FD"/>
    <w:rsid w:val="006E5575"/>
    <w:rsid w:val="006E569F"/>
    <w:rsid w:val="006E5960"/>
    <w:rsid w:val="006E59DE"/>
    <w:rsid w:val="006E5B25"/>
    <w:rsid w:val="006E5F49"/>
    <w:rsid w:val="006E6044"/>
    <w:rsid w:val="006E6391"/>
    <w:rsid w:val="006E63AA"/>
    <w:rsid w:val="006E6767"/>
    <w:rsid w:val="006E6835"/>
    <w:rsid w:val="006E735B"/>
    <w:rsid w:val="006E79E5"/>
    <w:rsid w:val="006E7A00"/>
    <w:rsid w:val="006E7C73"/>
    <w:rsid w:val="006E7CA5"/>
    <w:rsid w:val="006E7D89"/>
    <w:rsid w:val="006F002E"/>
    <w:rsid w:val="006F034D"/>
    <w:rsid w:val="006F0950"/>
    <w:rsid w:val="006F09AC"/>
    <w:rsid w:val="006F0AFA"/>
    <w:rsid w:val="006F1194"/>
    <w:rsid w:val="006F1568"/>
    <w:rsid w:val="006F1645"/>
    <w:rsid w:val="006F169F"/>
    <w:rsid w:val="006F16A5"/>
    <w:rsid w:val="006F17C4"/>
    <w:rsid w:val="006F18BE"/>
    <w:rsid w:val="006F1B52"/>
    <w:rsid w:val="006F1CD5"/>
    <w:rsid w:val="006F1CFF"/>
    <w:rsid w:val="006F1D79"/>
    <w:rsid w:val="006F1DBA"/>
    <w:rsid w:val="006F1FB6"/>
    <w:rsid w:val="006F2245"/>
    <w:rsid w:val="006F2333"/>
    <w:rsid w:val="006F23B6"/>
    <w:rsid w:val="006F27A6"/>
    <w:rsid w:val="006F2D35"/>
    <w:rsid w:val="006F2E1A"/>
    <w:rsid w:val="006F2F5F"/>
    <w:rsid w:val="006F310D"/>
    <w:rsid w:val="006F35A3"/>
    <w:rsid w:val="006F39A4"/>
    <w:rsid w:val="006F3C3A"/>
    <w:rsid w:val="006F3E01"/>
    <w:rsid w:val="006F402F"/>
    <w:rsid w:val="006F419F"/>
    <w:rsid w:val="006F42DE"/>
    <w:rsid w:val="006F4F5C"/>
    <w:rsid w:val="006F526F"/>
    <w:rsid w:val="006F533D"/>
    <w:rsid w:val="006F5728"/>
    <w:rsid w:val="006F5C2C"/>
    <w:rsid w:val="006F60D5"/>
    <w:rsid w:val="006F616B"/>
    <w:rsid w:val="006F62D3"/>
    <w:rsid w:val="006F62DA"/>
    <w:rsid w:val="006F63A2"/>
    <w:rsid w:val="006F676E"/>
    <w:rsid w:val="006F6955"/>
    <w:rsid w:val="006F699B"/>
    <w:rsid w:val="006F6CA8"/>
    <w:rsid w:val="006F6E91"/>
    <w:rsid w:val="006F6EB7"/>
    <w:rsid w:val="006F6FD5"/>
    <w:rsid w:val="006F76B2"/>
    <w:rsid w:val="006F7807"/>
    <w:rsid w:val="006F7B2A"/>
    <w:rsid w:val="006F7E43"/>
    <w:rsid w:val="006F7F62"/>
    <w:rsid w:val="007000D5"/>
    <w:rsid w:val="00700147"/>
    <w:rsid w:val="007001C4"/>
    <w:rsid w:val="007002BD"/>
    <w:rsid w:val="007002F1"/>
    <w:rsid w:val="0070031D"/>
    <w:rsid w:val="00700386"/>
    <w:rsid w:val="00700B06"/>
    <w:rsid w:val="0070128A"/>
    <w:rsid w:val="007012F0"/>
    <w:rsid w:val="007015BA"/>
    <w:rsid w:val="007016A4"/>
    <w:rsid w:val="0070188A"/>
    <w:rsid w:val="00701893"/>
    <w:rsid w:val="00701F2B"/>
    <w:rsid w:val="00701F3D"/>
    <w:rsid w:val="00702BA2"/>
    <w:rsid w:val="00702BED"/>
    <w:rsid w:val="00702EDE"/>
    <w:rsid w:val="00702FAC"/>
    <w:rsid w:val="00702FD2"/>
    <w:rsid w:val="00703049"/>
    <w:rsid w:val="00703063"/>
    <w:rsid w:val="0070326B"/>
    <w:rsid w:val="00703820"/>
    <w:rsid w:val="007039B7"/>
    <w:rsid w:val="00703AE8"/>
    <w:rsid w:val="00703CB3"/>
    <w:rsid w:val="00704025"/>
    <w:rsid w:val="007042FE"/>
    <w:rsid w:val="00704356"/>
    <w:rsid w:val="007047BA"/>
    <w:rsid w:val="00704C7D"/>
    <w:rsid w:val="00704D02"/>
    <w:rsid w:val="00705016"/>
    <w:rsid w:val="0070526A"/>
    <w:rsid w:val="00705443"/>
    <w:rsid w:val="0070579E"/>
    <w:rsid w:val="00705B33"/>
    <w:rsid w:val="00705D46"/>
    <w:rsid w:val="00705FAB"/>
    <w:rsid w:val="007060EF"/>
    <w:rsid w:val="0070615E"/>
    <w:rsid w:val="00706508"/>
    <w:rsid w:val="007068E8"/>
    <w:rsid w:val="00706C4B"/>
    <w:rsid w:val="00706D22"/>
    <w:rsid w:val="00706E99"/>
    <w:rsid w:val="00706F00"/>
    <w:rsid w:val="007073EF"/>
    <w:rsid w:val="007073FD"/>
    <w:rsid w:val="00707641"/>
    <w:rsid w:val="00707D4E"/>
    <w:rsid w:val="00707FD1"/>
    <w:rsid w:val="00710028"/>
    <w:rsid w:val="00710335"/>
    <w:rsid w:val="00710345"/>
    <w:rsid w:val="00710356"/>
    <w:rsid w:val="00710458"/>
    <w:rsid w:val="007105FE"/>
    <w:rsid w:val="007109A7"/>
    <w:rsid w:val="007109B6"/>
    <w:rsid w:val="00710A58"/>
    <w:rsid w:val="00710F8F"/>
    <w:rsid w:val="0071106D"/>
    <w:rsid w:val="007116AC"/>
    <w:rsid w:val="00711B09"/>
    <w:rsid w:val="00711D61"/>
    <w:rsid w:val="00711D9D"/>
    <w:rsid w:val="00712076"/>
    <w:rsid w:val="00712115"/>
    <w:rsid w:val="007121AE"/>
    <w:rsid w:val="007124A2"/>
    <w:rsid w:val="007125B5"/>
    <w:rsid w:val="007126F1"/>
    <w:rsid w:val="00712941"/>
    <w:rsid w:val="00712A56"/>
    <w:rsid w:val="00712B90"/>
    <w:rsid w:val="00712BED"/>
    <w:rsid w:val="00712D0D"/>
    <w:rsid w:val="00712F87"/>
    <w:rsid w:val="00713027"/>
    <w:rsid w:val="007133ED"/>
    <w:rsid w:val="0071344B"/>
    <w:rsid w:val="00713512"/>
    <w:rsid w:val="007135FC"/>
    <w:rsid w:val="0071381E"/>
    <w:rsid w:val="00713F5B"/>
    <w:rsid w:val="007141B4"/>
    <w:rsid w:val="00714214"/>
    <w:rsid w:val="00714602"/>
    <w:rsid w:val="0071461C"/>
    <w:rsid w:val="00714866"/>
    <w:rsid w:val="00714960"/>
    <w:rsid w:val="00714A33"/>
    <w:rsid w:val="00714A58"/>
    <w:rsid w:val="00714F0C"/>
    <w:rsid w:val="00715639"/>
    <w:rsid w:val="00715906"/>
    <w:rsid w:val="007159B3"/>
    <w:rsid w:val="007159D4"/>
    <w:rsid w:val="00715C34"/>
    <w:rsid w:val="00715ED8"/>
    <w:rsid w:val="00715F1E"/>
    <w:rsid w:val="007161CB"/>
    <w:rsid w:val="00716723"/>
    <w:rsid w:val="00716A34"/>
    <w:rsid w:val="007171B9"/>
    <w:rsid w:val="007177E7"/>
    <w:rsid w:val="00717CCF"/>
    <w:rsid w:val="00717CDC"/>
    <w:rsid w:val="00717E5A"/>
    <w:rsid w:val="00720682"/>
    <w:rsid w:val="00720795"/>
    <w:rsid w:val="00720A31"/>
    <w:rsid w:val="00720A57"/>
    <w:rsid w:val="00720BCC"/>
    <w:rsid w:val="00720C0E"/>
    <w:rsid w:val="00721071"/>
    <w:rsid w:val="00721597"/>
    <w:rsid w:val="00721600"/>
    <w:rsid w:val="007218DD"/>
    <w:rsid w:val="00721B29"/>
    <w:rsid w:val="00721C0A"/>
    <w:rsid w:val="00721CEF"/>
    <w:rsid w:val="00722366"/>
    <w:rsid w:val="00722577"/>
    <w:rsid w:val="00722614"/>
    <w:rsid w:val="0072273C"/>
    <w:rsid w:val="00722AD0"/>
    <w:rsid w:val="00722B65"/>
    <w:rsid w:val="00722EE6"/>
    <w:rsid w:val="00722EEC"/>
    <w:rsid w:val="00722FB8"/>
    <w:rsid w:val="007230D6"/>
    <w:rsid w:val="007238AB"/>
    <w:rsid w:val="007239B0"/>
    <w:rsid w:val="00723C65"/>
    <w:rsid w:val="00723E4B"/>
    <w:rsid w:val="00723F3E"/>
    <w:rsid w:val="00724247"/>
    <w:rsid w:val="007243BC"/>
    <w:rsid w:val="007243F6"/>
    <w:rsid w:val="00724553"/>
    <w:rsid w:val="00724621"/>
    <w:rsid w:val="00724CE2"/>
    <w:rsid w:val="0072534D"/>
    <w:rsid w:val="007254FF"/>
    <w:rsid w:val="0072563F"/>
    <w:rsid w:val="00725ED6"/>
    <w:rsid w:val="00726928"/>
    <w:rsid w:val="00726A14"/>
    <w:rsid w:val="00726B31"/>
    <w:rsid w:val="00726CFA"/>
    <w:rsid w:val="00726E07"/>
    <w:rsid w:val="00726ECB"/>
    <w:rsid w:val="00727095"/>
    <w:rsid w:val="007270C6"/>
    <w:rsid w:val="00727696"/>
    <w:rsid w:val="00727746"/>
    <w:rsid w:val="007279A3"/>
    <w:rsid w:val="00727CA2"/>
    <w:rsid w:val="00727E51"/>
    <w:rsid w:val="00727F48"/>
    <w:rsid w:val="00730437"/>
    <w:rsid w:val="007305A7"/>
    <w:rsid w:val="00730660"/>
    <w:rsid w:val="007306A3"/>
    <w:rsid w:val="007308E3"/>
    <w:rsid w:val="007309BA"/>
    <w:rsid w:val="00730D88"/>
    <w:rsid w:val="007315DC"/>
    <w:rsid w:val="0073199E"/>
    <w:rsid w:val="00731CC3"/>
    <w:rsid w:val="00731D09"/>
    <w:rsid w:val="00731D47"/>
    <w:rsid w:val="00731EC9"/>
    <w:rsid w:val="00731F48"/>
    <w:rsid w:val="00732170"/>
    <w:rsid w:val="007324A0"/>
    <w:rsid w:val="007325C0"/>
    <w:rsid w:val="0073262B"/>
    <w:rsid w:val="00732887"/>
    <w:rsid w:val="00732C87"/>
    <w:rsid w:val="00732CFA"/>
    <w:rsid w:val="00732E2C"/>
    <w:rsid w:val="0073304F"/>
    <w:rsid w:val="00733398"/>
    <w:rsid w:val="00733559"/>
    <w:rsid w:val="0073403B"/>
    <w:rsid w:val="007342EF"/>
    <w:rsid w:val="00734468"/>
    <w:rsid w:val="007346DF"/>
    <w:rsid w:val="007349AC"/>
    <w:rsid w:val="00734B67"/>
    <w:rsid w:val="00734DE2"/>
    <w:rsid w:val="00735358"/>
    <w:rsid w:val="007356F3"/>
    <w:rsid w:val="00735B19"/>
    <w:rsid w:val="00735DB9"/>
    <w:rsid w:val="00735ECF"/>
    <w:rsid w:val="0073652A"/>
    <w:rsid w:val="00736772"/>
    <w:rsid w:val="0073678C"/>
    <w:rsid w:val="00736865"/>
    <w:rsid w:val="007368A2"/>
    <w:rsid w:val="007369A4"/>
    <w:rsid w:val="00736A00"/>
    <w:rsid w:val="00736D03"/>
    <w:rsid w:val="00736D7E"/>
    <w:rsid w:val="00736DE9"/>
    <w:rsid w:val="00737158"/>
    <w:rsid w:val="00737177"/>
    <w:rsid w:val="00737336"/>
    <w:rsid w:val="00737507"/>
    <w:rsid w:val="00737510"/>
    <w:rsid w:val="00737556"/>
    <w:rsid w:val="0073769F"/>
    <w:rsid w:val="007378BB"/>
    <w:rsid w:val="007378F4"/>
    <w:rsid w:val="00737C49"/>
    <w:rsid w:val="00737D2B"/>
    <w:rsid w:val="00740002"/>
    <w:rsid w:val="0074028B"/>
    <w:rsid w:val="007404B4"/>
    <w:rsid w:val="007407F9"/>
    <w:rsid w:val="00740A81"/>
    <w:rsid w:val="00740BB6"/>
    <w:rsid w:val="00740DD7"/>
    <w:rsid w:val="00740F58"/>
    <w:rsid w:val="0074136F"/>
    <w:rsid w:val="00741572"/>
    <w:rsid w:val="007416CD"/>
    <w:rsid w:val="007416EB"/>
    <w:rsid w:val="00741D52"/>
    <w:rsid w:val="00741D8E"/>
    <w:rsid w:val="00741EFF"/>
    <w:rsid w:val="00742103"/>
    <w:rsid w:val="0074211B"/>
    <w:rsid w:val="00742287"/>
    <w:rsid w:val="00742439"/>
    <w:rsid w:val="007426DC"/>
    <w:rsid w:val="007429EC"/>
    <w:rsid w:val="00742B23"/>
    <w:rsid w:val="00742B63"/>
    <w:rsid w:val="00742F9F"/>
    <w:rsid w:val="00743686"/>
    <w:rsid w:val="00743773"/>
    <w:rsid w:val="00743A10"/>
    <w:rsid w:val="00743AFD"/>
    <w:rsid w:val="00743E98"/>
    <w:rsid w:val="0074443E"/>
    <w:rsid w:val="00744551"/>
    <w:rsid w:val="00744616"/>
    <w:rsid w:val="007446E5"/>
    <w:rsid w:val="00744708"/>
    <w:rsid w:val="00744C5D"/>
    <w:rsid w:val="0074503A"/>
    <w:rsid w:val="00745380"/>
    <w:rsid w:val="0074591A"/>
    <w:rsid w:val="0074612C"/>
    <w:rsid w:val="007465A9"/>
    <w:rsid w:val="00746D31"/>
    <w:rsid w:val="00746EAB"/>
    <w:rsid w:val="00746F69"/>
    <w:rsid w:val="00747091"/>
    <w:rsid w:val="0074739A"/>
    <w:rsid w:val="00747763"/>
    <w:rsid w:val="00747D64"/>
    <w:rsid w:val="00747DE8"/>
    <w:rsid w:val="007503E8"/>
    <w:rsid w:val="007504D0"/>
    <w:rsid w:val="007505B0"/>
    <w:rsid w:val="007508B5"/>
    <w:rsid w:val="00750AF0"/>
    <w:rsid w:val="00750C3B"/>
    <w:rsid w:val="00750CDF"/>
    <w:rsid w:val="00750CFE"/>
    <w:rsid w:val="007518A5"/>
    <w:rsid w:val="00751B26"/>
    <w:rsid w:val="00751CD6"/>
    <w:rsid w:val="00751E19"/>
    <w:rsid w:val="00751E3E"/>
    <w:rsid w:val="0075240C"/>
    <w:rsid w:val="00752452"/>
    <w:rsid w:val="007524D5"/>
    <w:rsid w:val="0075257F"/>
    <w:rsid w:val="007525B2"/>
    <w:rsid w:val="0075299D"/>
    <w:rsid w:val="00752B88"/>
    <w:rsid w:val="00752EF6"/>
    <w:rsid w:val="00752F6D"/>
    <w:rsid w:val="0075301A"/>
    <w:rsid w:val="0075363B"/>
    <w:rsid w:val="00753658"/>
    <w:rsid w:val="00753708"/>
    <w:rsid w:val="00753B3E"/>
    <w:rsid w:val="00753E0F"/>
    <w:rsid w:val="0075473B"/>
    <w:rsid w:val="00754771"/>
    <w:rsid w:val="0075488D"/>
    <w:rsid w:val="0075494C"/>
    <w:rsid w:val="00754A0D"/>
    <w:rsid w:val="00754A1F"/>
    <w:rsid w:val="00754C3A"/>
    <w:rsid w:val="00754EEE"/>
    <w:rsid w:val="007551B8"/>
    <w:rsid w:val="0075524F"/>
    <w:rsid w:val="007552C1"/>
    <w:rsid w:val="007552F9"/>
    <w:rsid w:val="00755775"/>
    <w:rsid w:val="00755887"/>
    <w:rsid w:val="007558E9"/>
    <w:rsid w:val="00755B55"/>
    <w:rsid w:val="00756003"/>
    <w:rsid w:val="00756010"/>
    <w:rsid w:val="007562E2"/>
    <w:rsid w:val="007564E5"/>
    <w:rsid w:val="00756ACF"/>
    <w:rsid w:val="00756CD9"/>
    <w:rsid w:val="00756D31"/>
    <w:rsid w:val="00756F7C"/>
    <w:rsid w:val="007571E2"/>
    <w:rsid w:val="0075721F"/>
    <w:rsid w:val="007575C3"/>
    <w:rsid w:val="007577AB"/>
    <w:rsid w:val="007577C2"/>
    <w:rsid w:val="00757EC7"/>
    <w:rsid w:val="00757F0A"/>
    <w:rsid w:val="007603D1"/>
    <w:rsid w:val="00760851"/>
    <w:rsid w:val="00760A1F"/>
    <w:rsid w:val="00760E47"/>
    <w:rsid w:val="00761051"/>
    <w:rsid w:val="00761670"/>
    <w:rsid w:val="00761724"/>
    <w:rsid w:val="00761839"/>
    <w:rsid w:val="0076183B"/>
    <w:rsid w:val="00761907"/>
    <w:rsid w:val="00761C85"/>
    <w:rsid w:val="00761E3A"/>
    <w:rsid w:val="007626AA"/>
    <w:rsid w:val="00762BA6"/>
    <w:rsid w:val="00762D86"/>
    <w:rsid w:val="00762DB8"/>
    <w:rsid w:val="00762DE2"/>
    <w:rsid w:val="00762EB9"/>
    <w:rsid w:val="00762F2B"/>
    <w:rsid w:val="00762FF3"/>
    <w:rsid w:val="0076315C"/>
    <w:rsid w:val="0076328E"/>
    <w:rsid w:val="007633FB"/>
    <w:rsid w:val="00763659"/>
    <w:rsid w:val="00763750"/>
    <w:rsid w:val="007637CC"/>
    <w:rsid w:val="0076399C"/>
    <w:rsid w:val="00763C7B"/>
    <w:rsid w:val="007641E2"/>
    <w:rsid w:val="0076424A"/>
    <w:rsid w:val="0076438D"/>
    <w:rsid w:val="00764447"/>
    <w:rsid w:val="007646C7"/>
    <w:rsid w:val="007648A1"/>
    <w:rsid w:val="00764D0E"/>
    <w:rsid w:val="00764D1B"/>
    <w:rsid w:val="00764E39"/>
    <w:rsid w:val="00764F73"/>
    <w:rsid w:val="0076520C"/>
    <w:rsid w:val="00765570"/>
    <w:rsid w:val="0076561E"/>
    <w:rsid w:val="0076587D"/>
    <w:rsid w:val="007658E8"/>
    <w:rsid w:val="0076595D"/>
    <w:rsid w:val="00765AC9"/>
    <w:rsid w:val="00765D45"/>
    <w:rsid w:val="00765DB7"/>
    <w:rsid w:val="00765DFF"/>
    <w:rsid w:val="00766097"/>
    <w:rsid w:val="0076614A"/>
    <w:rsid w:val="007661B0"/>
    <w:rsid w:val="00766377"/>
    <w:rsid w:val="0076645D"/>
    <w:rsid w:val="00766920"/>
    <w:rsid w:val="00766A79"/>
    <w:rsid w:val="00766BDC"/>
    <w:rsid w:val="00766CCC"/>
    <w:rsid w:val="00767436"/>
    <w:rsid w:val="007674B1"/>
    <w:rsid w:val="007676E3"/>
    <w:rsid w:val="00767C98"/>
    <w:rsid w:val="00767E36"/>
    <w:rsid w:val="00767ED5"/>
    <w:rsid w:val="00770170"/>
    <w:rsid w:val="007703F6"/>
    <w:rsid w:val="00770485"/>
    <w:rsid w:val="007704E6"/>
    <w:rsid w:val="007705B9"/>
    <w:rsid w:val="00770819"/>
    <w:rsid w:val="007709F2"/>
    <w:rsid w:val="00770B8B"/>
    <w:rsid w:val="00770CE1"/>
    <w:rsid w:val="00770FD3"/>
    <w:rsid w:val="007711AB"/>
    <w:rsid w:val="007716F9"/>
    <w:rsid w:val="0077192E"/>
    <w:rsid w:val="00771A2E"/>
    <w:rsid w:val="00772208"/>
    <w:rsid w:val="007722F8"/>
    <w:rsid w:val="00772427"/>
    <w:rsid w:val="00772588"/>
    <w:rsid w:val="00772BC2"/>
    <w:rsid w:val="00772BE3"/>
    <w:rsid w:val="00772F8F"/>
    <w:rsid w:val="0077307C"/>
    <w:rsid w:val="00773226"/>
    <w:rsid w:val="00773343"/>
    <w:rsid w:val="00773353"/>
    <w:rsid w:val="00773509"/>
    <w:rsid w:val="00773998"/>
    <w:rsid w:val="007739C7"/>
    <w:rsid w:val="00773D28"/>
    <w:rsid w:val="00773F6B"/>
    <w:rsid w:val="00773FD2"/>
    <w:rsid w:val="007740FD"/>
    <w:rsid w:val="00774717"/>
    <w:rsid w:val="007748FD"/>
    <w:rsid w:val="00774920"/>
    <w:rsid w:val="00774941"/>
    <w:rsid w:val="00774BB0"/>
    <w:rsid w:val="00774D52"/>
    <w:rsid w:val="007752B6"/>
    <w:rsid w:val="0077539D"/>
    <w:rsid w:val="007754FD"/>
    <w:rsid w:val="007755C8"/>
    <w:rsid w:val="0077579B"/>
    <w:rsid w:val="00775B99"/>
    <w:rsid w:val="0077628B"/>
    <w:rsid w:val="00776447"/>
    <w:rsid w:val="007764B7"/>
    <w:rsid w:val="007767C4"/>
    <w:rsid w:val="007768C5"/>
    <w:rsid w:val="00776AB6"/>
    <w:rsid w:val="00776B3D"/>
    <w:rsid w:val="0077700D"/>
    <w:rsid w:val="0077738B"/>
    <w:rsid w:val="00777460"/>
    <w:rsid w:val="007776ED"/>
    <w:rsid w:val="00777CE8"/>
    <w:rsid w:val="00777D77"/>
    <w:rsid w:val="00777E4E"/>
    <w:rsid w:val="00780025"/>
    <w:rsid w:val="007802C0"/>
    <w:rsid w:val="00780414"/>
    <w:rsid w:val="00780429"/>
    <w:rsid w:val="00780516"/>
    <w:rsid w:val="00780675"/>
    <w:rsid w:val="007807EF"/>
    <w:rsid w:val="00780846"/>
    <w:rsid w:val="00780A45"/>
    <w:rsid w:val="00780A9D"/>
    <w:rsid w:val="00780F31"/>
    <w:rsid w:val="007814D1"/>
    <w:rsid w:val="00781601"/>
    <w:rsid w:val="00781654"/>
    <w:rsid w:val="007817BA"/>
    <w:rsid w:val="00781813"/>
    <w:rsid w:val="0078195B"/>
    <w:rsid w:val="00781AF0"/>
    <w:rsid w:val="00781E66"/>
    <w:rsid w:val="00781F78"/>
    <w:rsid w:val="0078271E"/>
    <w:rsid w:val="00782886"/>
    <w:rsid w:val="007828BB"/>
    <w:rsid w:val="007828FF"/>
    <w:rsid w:val="007829EF"/>
    <w:rsid w:val="00782B5E"/>
    <w:rsid w:val="00782BA3"/>
    <w:rsid w:val="00782BB6"/>
    <w:rsid w:val="00782D71"/>
    <w:rsid w:val="00782EBA"/>
    <w:rsid w:val="00782F93"/>
    <w:rsid w:val="007830A7"/>
    <w:rsid w:val="007830B2"/>
    <w:rsid w:val="0078311F"/>
    <w:rsid w:val="0078325F"/>
    <w:rsid w:val="00783438"/>
    <w:rsid w:val="00783494"/>
    <w:rsid w:val="00783842"/>
    <w:rsid w:val="00783A95"/>
    <w:rsid w:val="00783B47"/>
    <w:rsid w:val="00783E2D"/>
    <w:rsid w:val="0078418D"/>
    <w:rsid w:val="00784865"/>
    <w:rsid w:val="007848AF"/>
    <w:rsid w:val="00784F8C"/>
    <w:rsid w:val="007851DC"/>
    <w:rsid w:val="007853FA"/>
    <w:rsid w:val="00785AB6"/>
    <w:rsid w:val="00785C7E"/>
    <w:rsid w:val="00785D7D"/>
    <w:rsid w:val="00785E30"/>
    <w:rsid w:val="00785EE8"/>
    <w:rsid w:val="0078664C"/>
    <w:rsid w:val="0078676A"/>
    <w:rsid w:val="00786804"/>
    <w:rsid w:val="0078691C"/>
    <w:rsid w:val="007871CF"/>
    <w:rsid w:val="007876E3"/>
    <w:rsid w:val="00787B68"/>
    <w:rsid w:val="00787D7B"/>
    <w:rsid w:val="00790060"/>
    <w:rsid w:val="00790445"/>
    <w:rsid w:val="0079045D"/>
    <w:rsid w:val="00790530"/>
    <w:rsid w:val="00790549"/>
    <w:rsid w:val="0079067E"/>
    <w:rsid w:val="007907EE"/>
    <w:rsid w:val="007907FC"/>
    <w:rsid w:val="00790929"/>
    <w:rsid w:val="00790A43"/>
    <w:rsid w:val="00790EA3"/>
    <w:rsid w:val="007912BC"/>
    <w:rsid w:val="007914E6"/>
    <w:rsid w:val="007917F2"/>
    <w:rsid w:val="007919C8"/>
    <w:rsid w:val="00791B36"/>
    <w:rsid w:val="00791B46"/>
    <w:rsid w:val="00791C9E"/>
    <w:rsid w:val="00791CB2"/>
    <w:rsid w:val="00791CC4"/>
    <w:rsid w:val="00791F40"/>
    <w:rsid w:val="0079219B"/>
    <w:rsid w:val="0079222D"/>
    <w:rsid w:val="007922BC"/>
    <w:rsid w:val="007926C1"/>
    <w:rsid w:val="007928AD"/>
    <w:rsid w:val="007928B9"/>
    <w:rsid w:val="007929B4"/>
    <w:rsid w:val="00793267"/>
    <w:rsid w:val="007932B8"/>
    <w:rsid w:val="00793333"/>
    <w:rsid w:val="0079337E"/>
    <w:rsid w:val="007933D0"/>
    <w:rsid w:val="007934C1"/>
    <w:rsid w:val="00793788"/>
    <w:rsid w:val="00793845"/>
    <w:rsid w:val="00793A70"/>
    <w:rsid w:val="00793FCC"/>
    <w:rsid w:val="0079427F"/>
    <w:rsid w:val="007946D9"/>
    <w:rsid w:val="00794724"/>
    <w:rsid w:val="0079484F"/>
    <w:rsid w:val="007949A7"/>
    <w:rsid w:val="00794D52"/>
    <w:rsid w:val="00795078"/>
    <w:rsid w:val="0079525A"/>
    <w:rsid w:val="007952F6"/>
    <w:rsid w:val="0079572C"/>
    <w:rsid w:val="0079587A"/>
    <w:rsid w:val="00795A18"/>
    <w:rsid w:val="00795B4A"/>
    <w:rsid w:val="00795B6D"/>
    <w:rsid w:val="007960D1"/>
    <w:rsid w:val="007962CD"/>
    <w:rsid w:val="0079634A"/>
    <w:rsid w:val="00796358"/>
    <w:rsid w:val="007967AE"/>
    <w:rsid w:val="00796B6D"/>
    <w:rsid w:val="00796DB4"/>
    <w:rsid w:val="00796E61"/>
    <w:rsid w:val="00796F6A"/>
    <w:rsid w:val="00797B47"/>
    <w:rsid w:val="007A0174"/>
    <w:rsid w:val="007A0330"/>
    <w:rsid w:val="007A0584"/>
    <w:rsid w:val="007A0BB2"/>
    <w:rsid w:val="007A0E3D"/>
    <w:rsid w:val="007A129D"/>
    <w:rsid w:val="007A1AE5"/>
    <w:rsid w:val="007A20E7"/>
    <w:rsid w:val="007A2820"/>
    <w:rsid w:val="007A2CF1"/>
    <w:rsid w:val="007A2E2F"/>
    <w:rsid w:val="007A2EB5"/>
    <w:rsid w:val="007A3277"/>
    <w:rsid w:val="007A34AB"/>
    <w:rsid w:val="007A358E"/>
    <w:rsid w:val="007A3BB5"/>
    <w:rsid w:val="007A3BC2"/>
    <w:rsid w:val="007A3C5C"/>
    <w:rsid w:val="007A4020"/>
    <w:rsid w:val="007A4134"/>
    <w:rsid w:val="007A4216"/>
    <w:rsid w:val="007A485C"/>
    <w:rsid w:val="007A497D"/>
    <w:rsid w:val="007A4A0F"/>
    <w:rsid w:val="007A4C5B"/>
    <w:rsid w:val="007A50FC"/>
    <w:rsid w:val="007A5131"/>
    <w:rsid w:val="007A529E"/>
    <w:rsid w:val="007A537E"/>
    <w:rsid w:val="007A55A1"/>
    <w:rsid w:val="007A572F"/>
    <w:rsid w:val="007A5919"/>
    <w:rsid w:val="007A5FB0"/>
    <w:rsid w:val="007A61F0"/>
    <w:rsid w:val="007A6691"/>
    <w:rsid w:val="007A6792"/>
    <w:rsid w:val="007A67BF"/>
    <w:rsid w:val="007A695C"/>
    <w:rsid w:val="007A6A20"/>
    <w:rsid w:val="007A6C68"/>
    <w:rsid w:val="007A6EEB"/>
    <w:rsid w:val="007A6F26"/>
    <w:rsid w:val="007A70FA"/>
    <w:rsid w:val="007A714F"/>
    <w:rsid w:val="007A7208"/>
    <w:rsid w:val="007A792B"/>
    <w:rsid w:val="007A7EF4"/>
    <w:rsid w:val="007B0077"/>
    <w:rsid w:val="007B02D9"/>
    <w:rsid w:val="007B02EA"/>
    <w:rsid w:val="007B085A"/>
    <w:rsid w:val="007B0884"/>
    <w:rsid w:val="007B0A5F"/>
    <w:rsid w:val="007B0C4C"/>
    <w:rsid w:val="007B0E3A"/>
    <w:rsid w:val="007B10ED"/>
    <w:rsid w:val="007B1233"/>
    <w:rsid w:val="007B1257"/>
    <w:rsid w:val="007B1364"/>
    <w:rsid w:val="007B1C01"/>
    <w:rsid w:val="007B2462"/>
    <w:rsid w:val="007B2874"/>
    <w:rsid w:val="007B2D2C"/>
    <w:rsid w:val="007B2E2A"/>
    <w:rsid w:val="007B2EA4"/>
    <w:rsid w:val="007B2F2D"/>
    <w:rsid w:val="007B2FB6"/>
    <w:rsid w:val="007B3358"/>
    <w:rsid w:val="007B34BE"/>
    <w:rsid w:val="007B386B"/>
    <w:rsid w:val="007B38B9"/>
    <w:rsid w:val="007B3C68"/>
    <w:rsid w:val="007B4019"/>
    <w:rsid w:val="007B4598"/>
    <w:rsid w:val="007B4887"/>
    <w:rsid w:val="007B4979"/>
    <w:rsid w:val="007B4D76"/>
    <w:rsid w:val="007B4EE9"/>
    <w:rsid w:val="007B508D"/>
    <w:rsid w:val="007B5A93"/>
    <w:rsid w:val="007B5DE1"/>
    <w:rsid w:val="007B60BD"/>
    <w:rsid w:val="007B61BA"/>
    <w:rsid w:val="007B6489"/>
    <w:rsid w:val="007B66A0"/>
    <w:rsid w:val="007B69A1"/>
    <w:rsid w:val="007B69A7"/>
    <w:rsid w:val="007B6B74"/>
    <w:rsid w:val="007B6BC5"/>
    <w:rsid w:val="007B6C0A"/>
    <w:rsid w:val="007B6C79"/>
    <w:rsid w:val="007B6E4E"/>
    <w:rsid w:val="007B71E9"/>
    <w:rsid w:val="007B73E3"/>
    <w:rsid w:val="007B7446"/>
    <w:rsid w:val="007B788E"/>
    <w:rsid w:val="007B7AE7"/>
    <w:rsid w:val="007B7CA8"/>
    <w:rsid w:val="007B7EE9"/>
    <w:rsid w:val="007C01E6"/>
    <w:rsid w:val="007C0515"/>
    <w:rsid w:val="007C073E"/>
    <w:rsid w:val="007C1702"/>
    <w:rsid w:val="007C1825"/>
    <w:rsid w:val="007C1A50"/>
    <w:rsid w:val="007C1BD4"/>
    <w:rsid w:val="007C1C54"/>
    <w:rsid w:val="007C1DEB"/>
    <w:rsid w:val="007C1F96"/>
    <w:rsid w:val="007C24ED"/>
    <w:rsid w:val="007C262A"/>
    <w:rsid w:val="007C2734"/>
    <w:rsid w:val="007C2920"/>
    <w:rsid w:val="007C2E51"/>
    <w:rsid w:val="007C2EF9"/>
    <w:rsid w:val="007C337C"/>
    <w:rsid w:val="007C380E"/>
    <w:rsid w:val="007C3905"/>
    <w:rsid w:val="007C3B89"/>
    <w:rsid w:val="007C41D1"/>
    <w:rsid w:val="007C466B"/>
    <w:rsid w:val="007C48C7"/>
    <w:rsid w:val="007C49B4"/>
    <w:rsid w:val="007C4A31"/>
    <w:rsid w:val="007C4B7A"/>
    <w:rsid w:val="007C4C0C"/>
    <w:rsid w:val="007C4C0F"/>
    <w:rsid w:val="007C4CCE"/>
    <w:rsid w:val="007C526E"/>
    <w:rsid w:val="007C535D"/>
    <w:rsid w:val="007C5A7F"/>
    <w:rsid w:val="007C6606"/>
    <w:rsid w:val="007C671D"/>
    <w:rsid w:val="007C69D6"/>
    <w:rsid w:val="007C6C09"/>
    <w:rsid w:val="007C6CF4"/>
    <w:rsid w:val="007C6E8E"/>
    <w:rsid w:val="007C6EED"/>
    <w:rsid w:val="007C7037"/>
    <w:rsid w:val="007C7134"/>
    <w:rsid w:val="007C718B"/>
    <w:rsid w:val="007C737A"/>
    <w:rsid w:val="007C73A8"/>
    <w:rsid w:val="007C73C2"/>
    <w:rsid w:val="007C7474"/>
    <w:rsid w:val="007C7525"/>
    <w:rsid w:val="007C76B5"/>
    <w:rsid w:val="007C77DC"/>
    <w:rsid w:val="007C7F2A"/>
    <w:rsid w:val="007D039A"/>
    <w:rsid w:val="007D03F6"/>
    <w:rsid w:val="007D0508"/>
    <w:rsid w:val="007D081C"/>
    <w:rsid w:val="007D0943"/>
    <w:rsid w:val="007D0AE9"/>
    <w:rsid w:val="007D0BF5"/>
    <w:rsid w:val="007D0C0A"/>
    <w:rsid w:val="007D106D"/>
    <w:rsid w:val="007D123B"/>
    <w:rsid w:val="007D1252"/>
    <w:rsid w:val="007D1300"/>
    <w:rsid w:val="007D1524"/>
    <w:rsid w:val="007D16B2"/>
    <w:rsid w:val="007D18BE"/>
    <w:rsid w:val="007D1AD2"/>
    <w:rsid w:val="007D1C28"/>
    <w:rsid w:val="007D1D8A"/>
    <w:rsid w:val="007D1E42"/>
    <w:rsid w:val="007D2181"/>
    <w:rsid w:val="007D24D2"/>
    <w:rsid w:val="007D2560"/>
    <w:rsid w:val="007D25B7"/>
    <w:rsid w:val="007D2774"/>
    <w:rsid w:val="007D286E"/>
    <w:rsid w:val="007D297D"/>
    <w:rsid w:val="007D2A2C"/>
    <w:rsid w:val="007D2A86"/>
    <w:rsid w:val="007D2B51"/>
    <w:rsid w:val="007D2CEB"/>
    <w:rsid w:val="007D2D26"/>
    <w:rsid w:val="007D2F24"/>
    <w:rsid w:val="007D2FCC"/>
    <w:rsid w:val="007D313F"/>
    <w:rsid w:val="007D329C"/>
    <w:rsid w:val="007D3364"/>
    <w:rsid w:val="007D3376"/>
    <w:rsid w:val="007D3591"/>
    <w:rsid w:val="007D3813"/>
    <w:rsid w:val="007D3C09"/>
    <w:rsid w:val="007D3E89"/>
    <w:rsid w:val="007D46F3"/>
    <w:rsid w:val="007D471D"/>
    <w:rsid w:val="007D486F"/>
    <w:rsid w:val="007D4896"/>
    <w:rsid w:val="007D4925"/>
    <w:rsid w:val="007D4B89"/>
    <w:rsid w:val="007D4EEB"/>
    <w:rsid w:val="007D4FF7"/>
    <w:rsid w:val="007D5189"/>
    <w:rsid w:val="007D5319"/>
    <w:rsid w:val="007D53DD"/>
    <w:rsid w:val="007D5459"/>
    <w:rsid w:val="007D567F"/>
    <w:rsid w:val="007D5B5B"/>
    <w:rsid w:val="007D5EFE"/>
    <w:rsid w:val="007D5FDF"/>
    <w:rsid w:val="007D63AE"/>
    <w:rsid w:val="007D6583"/>
    <w:rsid w:val="007D6683"/>
    <w:rsid w:val="007D67FC"/>
    <w:rsid w:val="007D693D"/>
    <w:rsid w:val="007D6C96"/>
    <w:rsid w:val="007D72E6"/>
    <w:rsid w:val="007D743F"/>
    <w:rsid w:val="007D75BD"/>
    <w:rsid w:val="007D76A1"/>
    <w:rsid w:val="007D76BA"/>
    <w:rsid w:val="007D7E7B"/>
    <w:rsid w:val="007E010C"/>
    <w:rsid w:val="007E011D"/>
    <w:rsid w:val="007E0484"/>
    <w:rsid w:val="007E0542"/>
    <w:rsid w:val="007E0618"/>
    <w:rsid w:val="007E0642"/>
    <w:rsid w:val="007E0787"/>
    <w:rsid w:val="007E0934"/>
    <w:rsid w:val="007E0CED"/>
    <w:rsid w:val="007E0E29"/>
    <w:rsid w:val="007E0EAD"/>
    <w:rsid w:val="007E1170"/>
    <w:rsid w:val="007E1378"/>
    <w:rsid w:val="007E1E19"/>
    <w:rsid w:val="007E2067"/>
    <w:rsid w:val="007E2701"/>
    <w:rsid w:val="007E292E"/>
    <w:rsid w:val="007E2B6F"/>
    <w:rsid w:val="007E2B7A"/>
    <w:rsid w:val="007E2B85"/>
    <w:rsid w:val="007E2FEA"/>
    <w:rsid w:val="007E3128"/>
    <w:rsid w:val="007E3539"/>
    <w:rsid w:val="007E386A"/>
    <w:rsid w:val="007E3913"/>
    <w:rsid w:val="007E4377"/>
    <w:rsid w:val="007E49F3"/>
    <w:rsid w:val="007E4C53"/>
    <w:rsid w:val="007E4D52"/>
    <w:rsid w:val="007E4D94"/>
    <w:rsid w:val="007E52A3"/>
    <w:rsid w:val="007E52AA"/>
    <w:rsid w:val="007E5306"/>
    <w:rsid w:val="007E55C5"/>
    <w:rsid w:val="007E5700"/>
    <w:rsid w:val="007E579C"/>
    <w:rsid w:val="007E5E7C"/>
    <w:rsid w:val="007E610B"/>
    <w:rsid w:val="007E6167"/>
    <w:rsid w:val="007E677C"/>
    <w:rsid w:val="007E6AF4"/>
    <w:rsid w:val="007E6BEF"/>
    <w:rsid w:val="007E6C19"/>
    <w:rsid w:val="007E6EB4"/>
    <w:rsid w:val="007E71D2"/>
    <w:rsid w:val="007E725E"/>
    <w:rsid w:val="007E74C5"/>
    <w:rsid w:val="007E786D"/>
    <w:rsid w:val="007E7AEA"/>
    <w:rsid w:val="007E7D92"/>
    <w:rsid w:val="007E7E74"/>
    <w:rsid w:val="007E7FA8"/>
    <w:rsid w:val="007F0170"/>
    <w:rsid w:val="007F02F8"/>
    <w:rsid w:val="007F0B2E"/>
    <w:rsid w:val="007F0DB6"/>
    <w:rsid w:val="007F0E34"/>
    <w:rsid w:val="007F0F00"/>
    <w:rsid w:val="007F0F89"/>
    <w:rsid w:val="007F0F8D"/>
    <w:rsid w:val="007F1193"/>
    <w:rsid w:val="007F11FC"/>
    <w:rsid w:val="007F14CE"/>
    <w:rsid w:val="007F14E5"/>
    <w:rsid w:val="007F19BD"/>
    <w:rsid w:val="007F1BA8"/>
    <w:rsid w:val="007F1DF1"/>
    <w:rsid w:val="007F1FEB"/>
    <w:rsid w:val="007F28D1"/>
    <w:rsid w:val="007F2A4F"/>
    <w:rsid w:val="007F2AE7"/>
    <w:rsid w:val="007F2B0E"/>
    <w:rsid w:val="007F2CF7"/>
    <w:rsid w:val="007F2D35"/>
    <w:rsid w:val="007F2D7A"/>
    <w:rsid w:val="007F2EFC"/>
    <w:rsid w:val="007F31C1"/>
    <w:rsid w:val="007F32C6"/>
    <w:rsid w:val="007F3888"/>
    <w:rsid w:val="007F39C6"/>
    <w:rsid w:val="007F3D24"/>
    <w:rsid w:val="007F3EE6"/>
    <w:rsid w:val="007F3F5D"/>
    <w:rsid w:val="007F417B"/>
    <w:rsid w:val="007F466A"/>
    <w:rsid w:val="007F48CE"/>
    <w:rsid w:val="007F4988"/>
    <w:rsid w:val="007F4B4D"/>
    <w:rsid w:val="007F4F00"/>
    <w:rsid w:val="007F4FB8"/>
    <w:rsid w:val="007F4FEA"/>
    <w:rsid w:val="007F528F"/>
    <w:rsid w:val="007F536E"/>
    <w:rsid w:val="007F581C"/>
    <w:rsid w:val="007F5A4A"/>
    <w:rsid w:val="007F5C60"/>
    <w:rsid w:val="007F5DC8"/>
    <w:rsid w:val="007F6019"/>
    <w:rsid w:val="007F62AB"/>
    <w:rsid w:val="007F6368"/>
    <w:rsid w:val="007F66D9"/>
    <w:rsid w:val="007F6809"/>
    <w:rsid w:val="007F68D4"/>
    <w:rsid w:val="007F6BFD"/>
    <w:rsid w:val="007F6E78"/>
    <w:rsid w:val="007F6E81"/>
    <w:rsid w:val="007F6F49"/>
    <w:rsid w:val="007F702B"/>
    <w:rsid w:val="007F725F"/>
    <w:rsid w:val="007F753E"/>
    <w:rsid w:val="007F758F"/>
    <w:rsid w:val="007F77D2"/>
    <w:rsid w:val="007F7899"/>
    <w:rsid w:val="007F799E"/>
    <w:rsid w:val="007F7B60"/>
    <w:rsid w:val="007F7B7F"/>
    <w:rsid w:val="007F7C71"/>
    <w:rsid w:val="007F7D42"/>
    <w:rsid w:val="008000B9"/>
    <w:rsid w:val="00800766"/>
    <w:rsid w:val="0080092D"/>
    <w:rsid w:val="00800E5B"/>
    <w:rsid w:val="008012FA"/>
    <w:rsid w:val="00801326"/>
    <w:rsid w:val="00801485"/>
    <w:rsid w:val="0080161A"/>
    <w:rsid w:val="008016CB"/>
    <w:rsid w:val="008017BD"/>
    <w:rsid w:val="00801890"/>
    <w:rsid w:val="00801A2B"/>
    <w:rsid w:val="00801B03"/>
    <w:rsid w:val="00801C19"/>
    <w:rsid w:val="00802025"/>
    <w:rsid w:val="00802515"/>
    <w:rsid w:val="00802A84"/>
    <w:rsid w:val="00802AAD"/>
    <w:rsid w:val="00802B40"/>
    <w:rsid w:val="00802B4F"/>
    <w:rsid w:val="0080301D"/>
    <w:rsid w:val="0080315F"/>
    <w:rsid w:val="008032B0"/>
    <w:rsid w:val="00803361"/>
    <w:rsid w:val="00803568"/>
    <w:rsid w:val="008035A6"/>
    <w:rsid w:val="00803703"/>
    <w:rsid w:val="00803771"/>
    <w:rsid w:val="00803795"/>
    <w:rsid w:val="00803A0F"/>
    <w:rsid w:val="00803DB5"/>
    <w:rsid w:val="00803F87"/>
    <w:rsid w:val="00804275"/>
    <w:rsid w:val="008043DE"/>
    <w:rsid w:val="00804454"/>
    <w:rsid w:val="00804532"/>
    <w:rsid w:val="0080498D"/>
    <w:rsid w:val="00804AC4"/>
    <w:rsid w:val="00804B28"/>
    <w:rsid w:val="00804E91"/>
    <w:rsid w:val="00805091"/>
    <w:rsid w:val="00805166"/>
    <w:rsid w:val="008052B7"/>
    <w:rsid w:val="00805640"/>
    <w:rsid w:val="00805B26"/>
    <w:rsid w:val="00805B8A"/>
    <w:rsid w:val="00805BB2"/>
    <w:rsid w:val="00805F0E"/>
    <w:rsid w:val="0080606A"/>
    <w:rsid w:val="008062A1"/>
    <w:rsid w:val="008063D7"/>
    <w:rsid w:val="0080647F"/>
    <w:rsid w:val="008065F0"/>
    <w:rsid w:val="00806768"/>
    <w:rsid w:val="00806972"/>
    <w:rsid w:val="00806AA1"/>
    <w:rsid w:val="00806C23"/>
    <w:rsid w:val="00806E96"/>
    <w:rsid w:val="00806F15"/>
    <w:rsid w:val="008070A3"/>
    <w:rsid w:val="0080710B"/>
    <w:rsid w:val="00807392"/>
    <w:rsid w:val="0080768C"/>
    <w:rsid w:val="00807962"/>
    <w:rsid w:val="00807C2F"/>
    <w:rsid w:val="00807D17"/>
    <w:rsid w:val="00807D90"/>
    <w:rsid w:val="00807DD9"/>
    <w:rsid w:val="00807FE4"/>
    <w:rsid w:val="0081024E"/>
    <w:rsid w:val="008102A0"/>
    <w:rsid w:val="0081046D"/>
    <w:rsid w:val="008106D2"/>
    <w:rsid w:val="00810B67"/>
    <w:rsid w:val="00810ED1"/>
    <w:rsid w:val="00811285"/>
    <w:rsid w:val="0081129B"/>
    <w:rsid w:val="008115AB"/>
    <w:rsid w:val="0081168B"/>
    <w:rsid w:val="008116A3"/>
    <w:rsid w:val="008117DD"/>
    <w:rsid w:val="00811E34"/>
    <w:rsid w:val="00812284"/>
    <w:rsid w:val="008124FD"/>
    <w:rsid w:val="008126F4"/>
    <w:rsid w:val="008127F2"/>
    <w:rsid w:val="008128D6"/>
    <w:rsid w:val="008129C6"/>
    <w:rsid w:val="00812E0A"/>
    <w:rsid w:val="0081352B"/>
    <w:rsid w:val="00813CB3"/>
    <w:rsid w:val="00813DFC"/>
    <w:rsid w:val="008140C1"/>
    <w:rsid w:val="00814514"/>
    <w:rsid w:val="008147ED"/>
    <w:rsid w:val="00814B71"/>
    <w:rsid w:val="00814F97"/>
    <w:rsid w:val="00814FF9"/>
    <w:rsid w:val="00815459"/>
    <w:rsid w:val="0081558C"/>
    <w:rsid w:val="0081589C"/>
    <w:rsid w:val="008158F2"/>
    <w:rsid w:val="00815BB0"/>
    <w:rsid w:val="008162EF"/>
    <w:rsid w:val="0081634A"/>
    <w:rsid w:val="008165EA"/>
    <w:rsid w:val="00816BA1"/>
    <w:rsid w:val="00816DF2"/>
    <w:rsid w:val="00816FC5"/>
    <w:rsid w:val="008176E0"/>
    <w:rsid w:val="00817924"/>
    <w:rsid w:val="00817981"/>
    <w:rsid w:val="00817997"/>
    <w:rsid w:val="00817A3D"/>
    <w:rsid w:val="00817B70"/>
    <w:rsid w:val="00820022"/>
    <w:rsid w:val="0082056D"/>
    <w:rsid w:val="008206B6"/>
    <w:rsid w:val="0082073C"/>
    <w:rsid w:val="0082074D"/>
    <w:rsid w:val="0082084A"/>
    <w:rsid w:val="00820AF6"/>
    <w:rsid w:val="00820F4B"/>
    <w:rsid w:val="00820F8C"/>
    <w:rsid w:val="0082176F"/>
    <w:rsid w:val="008217C0"/>
    <w:rsid w:val="008219DA"/>
    <w:rsid w:val="00821A66"/>
    <w:rsid w:val="00821A81"/>
    <w:rsid w:val="00821C23"/>
    <w:rsid w:val="00821E32"/>
    <w:rsid w:val="00821EB3"/>
    <w:rsid w:val="0082232A"/>
    <w:rsid w:val="00822411"/>
    <w:rsid w:val="0082253E"/>
    <w:rsid w:val="008225A4"/>
    <w:rsid w:val="00822789"/>
    <w:rsid w:val="00822A27"/>
    <w:rsid w:val="00822A8B"/>
    <w:rsid w:val="00822C0A"/>
    <w:rsid w:val="0082354E"/>
    <w:rsid w:val="008235C5"/>
    <w:rsid w:val="008237E2"/>
    <w:rsid w:val="00823845"/>
    <w:rsid w:val="00823D71"/>
    <w:rsid w:val="008244BB"/>
    <w:rsid w:val="00824AB7"/>
    <w:rsid w:val="00824E3E"/>
    <w:rsid w:val="00824E93"/>
    <w:rsid w:val="0082503F"/>
    <w:rsid w:val="008251CA"/>
    <w:rsid w:val="008255E4"/>
    <w:rsid w:val="0082585B"/>
    <w:rsid w:val="00825B53"/>
    <w:rsid w:val="00825BC1"/>
    <w:rsid w:val="00825E47"/>
    <w:rsid w:val="008260A3"/>
    <w:rsid w:val="0082616F"/>
    <w:rsid w:val="008262F9"/>
    <w:rsid w:val="00826439"/>
    <w:rsid w:val="008266F2"/>
    <w:rsid w:val="00826831"/>
    <w:rsid w:val="00826899"/>
    <w:rsid w:val="0082697E"/>
    <w:rsid w:val="00826AD5"/>
    <w:rsid w:val="00826D79"/>
    <w:rsid w:val="00826FAB"/>
    <w:rsid w:val="00827075"/>
    <w:rsid w:val="00827248"/>
    <w:rsid w:val="00827497"/>
    <w:rsid w:val="0082777A"/>
    <w:rsid w:val="00827BAD"/>
    <w:rsid w:val="00827C5F"/>
    <w:rsid w:val="00827F63"/>
    <w:rsid w:val="008304D4"/>
    <w:rsid w:val="00830504"/>
    <w:rsid w:val="00830563"/>
    <w:rsid w:val="00830639"/>
    <w:rsid w:val="008306B1"/>
    <w:rsid w:val="0083081D"/>
    <w:rsid w:val="008309C9"/>
    <w:rsid w:val="00830B6D"/>
    <w:rsid w:val="00830BC7"/>
    <w:rsid w:val="00830BF4"/>
    <w:rsid w:val="00830F68"/>
    <w:rsid w:val="00830FBC"/>
    <w:rsid w:val="00831594"/>
    <w:rsid w:val="008317F7"/>
    <w:rsid w:val="00831C1C"/>
    <w:rsid w:val="00831DD0"/>
    <w:rsid w:val="008321EC"/>
    <w:rsid w:val="00832404"/>
    <w:rsid w:val="00832B84"/>
    <w:rsid w:val="00832BA3"/>
    <w:rsid w:val="00832E8B"/>
    <w:rsid w:val="00832F02"/>
    <w:rsid w:val="00832FAF"/>
    <w:rsid w:val="0083307B"/>
    <w:rsid w:val="0083308C"/>
    <w:rsid w:val="0083318C"/>
    <w:rsid w:val="0083331E"/>
    <w:rsid w:val="008333BB"/>
    <w:rsid w:val="008333E6"/>
    <w:rsid w:val="0083342B"/>
    <w:rsid w:val="008335E3"/>
    <w:rsid w:val="0083390C"/>
    <w:rsid w:val="008342F3"/>
    <w:rsid w:val="008345F7"/>
    <w:rsid w:val="008346BC"/>
    <w:rsid w:val="008346E8"/>
    <w:rsid w:val="0083487B"/>
    <w:rsid w:val="00834CC9"/>
    <w:rsid w:val="00834DCB"/>
    <w:rsid w:val="00835178"/>
    <w:rsid w:val="00835867"/>
    <w:rsid w:val="00835A77"/>
    <w:rsid w:val="00835A79"/>
    <w:rsid w:val="00835B12"/>
    <w:rsid w:val="00835CBC"/>
    <w:rsid w:val="00836657"/>
    <w:rsid w:val="00836673"/>
    <w:rsid w:val="0083689E"/>
    <w:rsid w:val="008368B6"/>
    <w:rsid w:val="00837010"/>
    <w:rsid w:val="008371A0"/>
    <w:rsid w:val="008377E5"/>
    <w:rsid w:val="00837829"/>
    <w:rsid w:val="008378D3"/>
    <w:rsid w:val="008378E4"/>
    <w:rsid w:val="00837BCE"/>
    <w:rsid w:val="00837CCA"/>
    <w:rsid w:val="00837D37"/>
    <w:rsid w:val="00837D3F"/>
    <w:rsid w:val="00840288"/>
    <w:rsid w:val="008403F3"/>
    <w:rsid w:val="008404AB"/>
    <w:rsid w:val="00840C01"/>
    <w:rsid w:val="00840C2A"/>
    <w:rsid w:val="00840C42"/>
    <w:rsid w:val="00840FC5"/>
    <w:rsid w:val="008411F3"/>
    <w:rsid w:val="00841325"/>
    <w:rsid w:val="0084155E"/>
    <w:rsid w:val="0084167C"/>
    <w:rsid w:val="00841978"/>
    <w:rsid w:val="00841DAA"/>
    <w:rsid w:val="00841E92"/>
    <w:rsid w:val="00842199"/>
    <w:rsid w:val="0084223A"/>
    <w:rsid w:val="0084258B"/>
    <w:rsid w:val="0084271D"/>
    <w:rsid w:val="0084282E"/>
    <w:rsid w:val="00842D33"/>
    <w:rsid w:val="00842F01"/>
    <w:rsid w:val="00843304"/>
    <w:rsid w:val="008435AA"/>
    <w:rsid w:val="00843627"/>
    <w:rsid w:val="00843814"/>
    <w:rsid w:val="00843B3F"/>
    <w:rsid w:val="00843C78"/>
    <w:rsid w:val="00843D69"/>
    <w:rsid w:val="008445ED"/>
    <w:rsid w:val="00844A18"/>
    <w:rsid w:val="00844C77"/>
    <w:rsid w:val="00844F10"/>
    <w:rsid w:val="00845186"/>
    <w:rsid w:val="00845290"/>
    <w:rsid w:val="0084547C"/>
    <w:rsid w:val="008455DE"/>
    <w:rsid w:val="008456BE"/>
    <w:rsid w:val="008457CC"/>
    <w:rsid w:val="008458BC"/>
    <w:rsid w:val="00845A7A"/>
    <w:rsid w:val="00845BA3"/>
    <w:rsid w:val="00845BBC"/>
    <w:rsid w:val="00845C39"/>
    <w:rsid w:val="00845C80"/>
    <w:rsid w:val="00845D88"/>
    <w:rsid w:val="00845F57"/>
    <w:rsid w:val="0084602C"/>
    <w:rsid w:val="00846134"/>
    <w:rsid w:val="0084629A"/>
    <w:rsid w:val="008464A8"/>
    <w:rsid w:val="008465DA"/>
    <w:rsid w:val="0084671E"/>
    <w:rsid w:val="0084697B"/>
    <w:rsid w:val="00847186"/>
    <w:rsid w:val="00847261"/>
    <w:rsid w:val="00847476"/>
    <w:rsid w:val="008477F0"/>
    <w:rsid w:val="00847827"/>
    <w:rsid w:val="008478D9"/>
    <w:rsid w:val="00847A20"/>
    <w:rsid w:val="00847A52"/>
    <w:rsid w:val="00847C86"/>
    <w:rsid w:val="00847F2B"/>
    <w:rsid w:val="00850048"/>
    <w:rsid w:val="008502FC"/>
    <w:rsid w:val="00850451"/>
    <w:rsid w:val="00850568"/>
    <w:rsid w:val="00850F80"/>
    <w:rsid w:val="008511E8"/>
    <w:rsid w:val="008513D8"/>
    <w:rsid w:val="00851CD6"/>
    <w:rsid w:val="00851DA2"/>
    <w:rsid w:val="00851EA6"/>
    <w:rsid w:val="008523F9"/>
    <w:rsid w:val="00852C25"/>
    <w:rsid w:val="00852D03"/>
    <w:rsid w:val="00852FD6"/>
    <w:rsid w:val="00853102"/>
    <w:rsid w:val="008531E1"/>
    <w:rsid w:val="00853611"/>
    <w:rsid w:val="00853BA9"/>
    <w:rsid w:val="00853ED7"/>
    <w:rsid w:val="00853F32"/>
    <w:rsid w:val="0085409A"/>
    <w:rsid w:val="008546BA"/>
    <w:rsid w:val="0085473F"/>
    <w:rsid w:val="008549A0"/>
    <w:rsid w:val="00854A49"/>
    <w:rsid w:val="00854C8D"/>
    <w:rsid w:val="00854EC2"/>
    <w:rsid w:val="008552BB"/>
    <w:rsid w:val="008559B5"/>
    <w:rsid w:val="00855D43"/>
    <w:rsid w:val="00855DEE"/>
    <w:rsid w:val="008561D7"/>
    <w:rsid w:val="008561F4"/>
    <w:rsid w:val="00856344"/>
    <w:rsid w:val="0085639C"/>
    <w:rsid w:val="00856983"/>
    <w:rsid w:val="00856DD7"/>
    <w:rsid w:val="0085755B"/>
    <w:rsid w:val="00857675"/>
    <w:rsid w:val="00857911"/>
    <w:rsid w:val="00857AC8"/>
    <w:rsid w:val="00857B0B"/>
    <w:rsid w:val="008604D6"/>
    <w:rsid w:val="0086060A"/>
    <w:rsid w:val="008607B4"/>
    <w:rsid w:val="0086080B"/>
    <w:rsid w:val="00860836"/>
    <w:rsid w:val="00860B22"/>
    <w:rsid w:val="00860E14"/>
    <w:rsid w:val="00861074"/>
    <w:rsid w:val="00861213"/>
    <w:rsid w:val="008612ED"/>
    <w:rsid w:val="008616FF"/>
    <w:rsid w:val="00861804"/>
    <w:rsid w:val="00861A96"/>
    <w:rsid w:val="00861B00"/>
    <w:rsid w:val="008623C9"/>
    <w:rsid w:val="008624D0"/>
    <w:rsid w:val="008627D5"/>
    <w:rsid w:val="0086282B"/>
    <w:rsid w:val="008628BA"/>
    <w:rsid w:val="008628FA"/>
    <w:rsid w:val="00863104"/>
    <w:rsid w:val="00863532"/>
    <w:rsid w:val="008636FC"/>
    <w:rsid w:val="00863742"/>
    <w:rsid w:val="008637FC"/>
    <w:rsid w:val="00863BCC"/>
    <w:rsid w:val="00863BDF"/>
    <w:rsid w:val="00863D5A"/>
    <w:rsid w:val="00863DB6"/>
    <w:rsid w:val="008641C0"/>
    <w:rsid w:val="0086477B"/>
    <w:rsid w:val="0086485B"/>
    <w:rsid w:val="00864FC7"/>
    <w:rsid w:val="008654A1"/>
    <w:rsid w:val="00865650"/>
    <w:rsid w:val="00865795"/>
    <w:rsid w:val="008659C5"/>
    <w:rsid w:val="00865A99"/>
    <w:rsid w:val="00865A9A"/>
    <w:rsid w:val="00865B86"/>
    <w:rsid w:val="00865CC6"/>
    <w:rsid w:val="00865D69"/>
    <w:rsid w:val="00865DAD"/>
    <w:rsid w:val="00865F83"/>
    <w:rsid w:val="00865FDD"/>
    <w:rsid w:val="0086653E"/>
    <w:rsid w:val="00866A0C"/>
    <w:rsid w:val="00866CF7"/>
    <w:rsid w:val="00866D57"/>
    <w:rsid w:val="00867139"/>
    <w:rsid w:val="0086735C"/>
    <w:rsid w:val="0086739D"/>
    <w:rsid w:val="008675F7"/>
    <w:rsid w:val="00867952"/>
    <w:rsid w:val="00867A81"/>
    <w:rsid w:val="00867CD0"/>
    <w:rsid w:val="00867D85"/>
    <w:rsid w:val="008701CF"/>
    <w:rsid w:val="00870356"/>
    <w:rsid w:val="00870368"/>
    <w:rsid w:val="008704FD"/>
    <w:rsid w:val="00870FDA"/>
    <w:rsid w:val="00871164"/>
    <w:rsid w:val="008711B9"/>
    <w:rsid w:val="0087120D"/>
    <w:rsid w:val="00871255"/>
    <w:rsid w:val="008712FE"/>
    <w:rsid w:val="00871CD2"/>
    <w:rsid w:val="00871D28"/>
    <w:rsid w:val="008720D6"/>
    <w:rsid w:val="00872722"/>
    <w:rsid w:val="00872AA9"/>
    <w:rsid w:val="008734A2"/>
    <w:rsid w:val="008738F6"/>
    <w:rsid w:val="00873BC6"/>
    <w:rsid w:val="00873D67"/>
    <w:rsid w:val="00873DD1"/>
    <w:rsid w:val="00873ECE"/>
    <w:rsid w:val="00873FD7"/>
    <w:rsid w:val="008743C3"/>
    <w:rsid w:val="00874FB1"/>
    <w:rsid w:val="008752CD"/>
    <w:rsid w:val="008753DE"/>
    <w:rsid w:val="00875412"/>
    <w:rsid w:val="00875649"/>
    <w:rsid w:val="008758A2"/>
    <w:rsid w:val="00875919"/>
    <w:rsid w:val="00875C53"/>
    <w:rsid w:val="00875E58"/>
    <w:rsid w:val="00875E76"/>
    <w:rsid w:val="008763C3"/>
    <w:rsid w:val="008767A9"/>
    <w:rsid w:val="00876991"/>
    <w:rsid w:val="00876A24"/>
    <w:rsid w:val="00876E04"/>
    <w:rsid w:val="00876E09"/>
    <w:rsid w:val="00876EE7"/>
    <w:rsid w:val="008771F4"/>
    <w:rsid w:val="008771FD"/>
    <w:rsid w:val="0087749A"/>
    <w:rsid w:val="00877A9E"/>
    <w:rsid w:val="00877B04"/>
    <w:rsid w:val="00877E23"/>
    <w:rsid w:val="00880356"/>
    <w:rsid w:val="00880448"/>
    <w:rsid w:val="008804B1"/>
    <w:rsid w:val="00880535"/>
    <w:rsid w:val="00880902"/>
    <w:rsid w:val="00880A5A"/>
    <w:rsid w:val="00880B39"/>
    <w:rsid w:val="00880BFC"/>
    <w:rsid w:val="00880C5E"/>
    <w:rsid w:val="00880F9C"/>
    <w:rsid w:val="0088118D"/>
    <w:rsid w:val="008811B3"/>
    <w:rsid w:val="0088122E"/>
    <w:rsid w:val="00881279"/>
    <w:rsid w:val="00881344"/>
    <w:rsid w:val="00881585"/>
    <w:rsid w:val="00881659"/>
    <w:rsid w:val="008817AC"/>
    <w:rsid w:val="00881808"/>
    <w:rsid w:val="00881842"/>
    <w:rsid w:val="00881AF2"/>
    <w:rsid w:val="00881E3C"/>
    <w:rsid w:val="0088229D"/>
    <w:rsid w:val="00882843"/>
    <w:rsid w:val="00882A89"/>
    <w:rsid w:val="008830F9"/>
    <w:rsid w:val="0088311C"/>
    <w:rsid w:val="00883192"/>
    <w:rsid w:val="00883529"/>
    <w:rsid w:val="0088354F"/>
    <w:rsid w:val="008837FC"/>
    <w:rsid w:val="00883992"/>
    <w:rsid w:val="00883A53"/>
    <w:rsid w:val="0088404F"/>
    <w:rsid w:val="00884075"/>
    <w:rsid w:val="0088430F"/>
    <w:rsid w:val="0088462A"/>
    <w:rsid w:val="008849A2"/>
    <w:rsid w:val="00884E0A"/>
    <w:rsid w:val="00884FB0"/>
    <w:rsid w:val="008851B1"/>
    <w:rsid w:val="00885845"/>
    <w:rsid w:val="00885DBE"/>
    <w:rsid w:val="00885E18"/>
    <w:rsid w:val="00885E29"/>
    <w:rsid w:val="0088607E"/>
    <w:rsid w:val="008864DB"/>
    <w:rsid w:val="0088659E"/>
    <w:rsid w:val="00886A5B"/>
    <w:rsid w:val="00886ADE"/>
    <w:rsid w:val="00887261"/>
    <w:rsid w:val="0088740E"/>
    <w:rsid w:val="008876D7"/>
    <w:rsid w:val="008877FB"/>
    <w:rsid w:val="00887947"/>
    <w:rsid w:val="008879D4"/>
    <w:rsid w:val="00887B60"/>
    <w:rsid w:val="00887D1C"/>
    <w:rsid w:val="00887FEF"/>
    <w:rsid w:val="00890389"/>
    <w:rsid w:val="00890700"/>
    <w:rsid w:val="00890847"/>
    <w:rsid w:val="00891095"/>
    <w:rsid w:val="00891124"/>
    <w:rsid w:val="008911B3"/>
    <w:rsid w:val="00891238"/>
    <w:rsid w:val="00891685"/>
    <w:rsid w:val="00891C60"/>
    <w:rsid w:val="0089282F"/>
    <w:rsid w:val="00892A0F"/>
    <w:rsid w:val="00892A4E"/>
    <w:rsid w:val="00892BBB"/>
    <w:rsid w:val="008930FE"/>
    <w:rsid w:val="00893375"/>
    <w:rsid w:val="00893668"/>
    <w:rsid w:val="008938C9"/>
    <w:rsid w:val="00893A37"/>
    <w:rsid w:val="00893AE8"/>
    <w:rsid w:val="00893B9B"/>
    <w:rsid w:val="0089435B"/>
    <w:rsid w:val="0089436E"/>
    <w:rsid w:val="00894472"/>
    <w:rsid w:val="0089455F"/>
    <w:rsid w:val="00894A27"/>
    <w:rsid w:val="00894A41"/>
    <w:rsid w:val="00894A93"/>
    <w:rsid w:val="00894C83"/>
    <w:rsid w:val="008950F0"/>
    <w:rsid w:val="0089543C"/>
    <w:rsid w:val="00895638"/>
    <w:rsid w:val="008959C3"/>
    <w:rsid w:val="00895CAD"/>
    <w:rsid w:val="00896200"/>
    <w:rsid w:val="00896359"/>
    <w:rsid w:val="0089656D"/>
    <w:rsid w:val="0089684B"/>
    <w:rsid w:val="00896A44"/>
    <w:rsid w:val="00896A4C"/>
    <w:rsid w:val="00896B82"/>
    <w:rsid w:val="00896C61"/>
    <w:rsid w:val="00896D3E"/>
    <w:rsid w:val="00896EBA"/>
    <w:rsid w:val="00897066"/>
    <w:rsid w:val="008970E1"/>
    <w:rsid w:val="00897148"/>
    <w:rsid w:val="0089745C"/>
    <w:rsid w:val="0089797F"/>
    <w:rsid w:val="00897990"/>
    <w:rsid w:val="00897A8D"/>
    <w:rsid w:val="008A016B"/>
    <w:rsid w:val="008A01CE"/>
    <w:rsid w:val="008A0A86"/>
    <w:rsid w:val="008A0C54"/>
    <w:rsid w:val="008A0E4D"/>
    <w:rsid w:val="008A1045"/>
    <w:rsid w:val="008A108E"/>
    <w:rsid w:val="008A1621"/>
    <w:rsid w:val="008A1E6F"/>
    <w:rsid w:val="008A2085"/>
    <w:rsid w:val="008A223E"/>
    <w:rsid w:val="008A23AC"/>
    <w:rsid w:val="008A23C9"/>
    <w:rsid w:val="008A3089"/>
    <w:rsid w:val="008A334E"/>
    <w:rsid w:val="008A34E1"/>
    <w:rsid w:val="008A352A"/>
    <w:rsid w:val="008A369B"/>
    <w:rsid w:val="008A376A"/>
    <w:rsid w:val="008A385A"/>
    <w:rsid w:val="008A39F8"/>
    <w:rsid w:val="008A3B0A"/>
    <w:rsid w:val="008A3C7B"/>
    <w:rsid w:val="008A3F93"/>
    <w:rsid w:val="008A4340"/>
    <w:rsid w:val="008A4376"/>
    <w:rsid w:val="008A44F2"/>
    <w:rsid w:val="008A44F9"/>
    <w:rsid w:val="008A458A"/>
    <w:rsid w:val="008A45EF"/>
    <w:rsid w:val="008A470F"/>
    <w:rsid w:val="008A48EE"/>
    <w:rsid w:val="008A4A72"/>
    <w:rsid w:val="008A4A73"/>
    <w:rsid w:val="008A4B87"/>
    <w:rsid w:val="008A4C37"/>
    <w:rsid w:val="008A4EC6"/>
    <w:rsid w:val="008A4F0F"/>
    <w:rsid w:val="008A5107"/>
    <w:rsid w:val="008A5545"/>
    <w:rsid w:val="008A5C8B"/>
    <w:rsid w:val="008A5DA7"/>
    <w:rsid w:val="008A5E28"/>
    <w:rsid w:val="008A5E69"/>
    <w:rsid w:val="008A6261"/>
    <w:rsid w:val="008A626E"/>
    <w:rsid w:val="008A64DB"/>
    <w:rsid w:val="008A693A"/>
    <w:rsid w:val="008A6A9D"/>
    <w:rsid w:val="008A6AC9"/>
    <w:rsid w:val="008A6ADC"/>
    <w:rsid w:val="008A6B16"/>
    <w:rsid w:val="008A6C3B"/>
    <w:rsid w:val="008A7151"/>
    <w:rsid w:val="008A74B9"/>
    <w:rsid w:val="008A7B91"/>
    <w:rsid w:val="008A7DFB"/>
    <w:rsid w:val="008A7E90"/>
    <w:rsid w:val="008A7EDA"/>
    <w:rsid w:val="008B0080"/>
    <w:rsid w:val="008B01AB"/>
    <w:rsid w:val="008B0555"/>
    <w:rsid w:val="008B0566"/>
    <w:rsid w:val="008B0813"/>
    <w:rsid w:val="008B0B3A"/>
    <w:rsid w:val="008B0D15"/>
    <w:rsid w:val="008B0DC8"/>
    <w:rsid w:val="008B0F6B"/>
    <w:rsid w:val="008B13EB"/>
    <w:rsid w:val="008B13EC"/>
    <w:rsid w:val="008B17CB"/>
    <w:rsid w:val="008B1EA9"/>
    <w:rsid w:val="008B1F41"/>
    <w:rsid w:val="008B1F7D"/>
    <w:rsid w:val="008B22D4"/>
    <w:rsid w:val="008B25C6"/>
    <w:rsid w:val="008B263C"/>
    <w:rsid w:val="008B2800"/>
    <w:rsid w:val="008B32A9"/>
    <w:rsid w:val="008B3589"/>
    <w:rsid w:val="008B363B"/>
    <w:rsid w:val="008B379E"/>
    <w:rsid w:val="008B37E7"/>
    <w:rsid w:val="008B3954"/>
    <w:rsid w:val="008B3970"/>
    <w:rsid w:val="008B3B8D"/>
    <w:rsid w:val="008B3D48"/>
    <w:rsid w:val="008B3E8A"/>
    <w:rsid w:val="008B44CE"/>
    <w:rsid w:val="008B4ACC"/>
    <w:rsid w:val="008B4D1C"/>
    <w:rsid w:val="008B4D69"/>
    <w:rsid w:val="008B4E94"/>
    <w:rsid w:val="008B4F53"/>
    <w:rsid w:val="008B5379"/>
    <w:rsid w:val="008B61D0"/>
    <w:rsid w:val="008B6358"/>
    <w:rsid w:val="008B6902"/>
    <w:rsid w:val="008B6AD7"/>
    <w:rsid w:val="008B6B40"/>
    <w:rsid w:val="008B6C03"/>
    <w:rsid w:val="008B6CC2"/>
    <w:rsid w:val="008B716F"/>
    <w:rsid w:val="008B71FF"/>
    <w:rsid w:val="008B759B"/>
    <w:rsid w:val="008B797D"/>
    <w:rsid w:val="008B7A1E"/>
    <w:rsid w:val="008B7B58"/>
    <w:rsid w:val="008B7D4E"/>
    <w:rsid w:val="008C0083"/>
    <w:rsid w:val="008C0368"/>
    <w:rsid w:val="008C05E3"/>
    <w:rsid w:val="008C090C"/>
    <w:rsid w:val="008C0C66"/>
    <w:rsid w:val="008C0E5F"/>
    <w:rsid w:val="008C0E97"/>
    <w:rsid w:val="008C0F4A"/>
    <w:rsid w:val="008C0F94"/>
    <w:rsid w:val="008C1396"/>
    <w:rsid w:val="008C1579"/>
    <w:rsid w:val="008C17CF"/>
    <w:rsid w:val="008C1BF8"/>
    <w:rsid w:val="008C1FB6"/>
    <w:rsid w:val="008C1FEE"/>
    <w:rsid w:val="008C2030"/>
    <w:rsid w:val="008C23EA"/>
    <w:rsid w:val="008C2522"/>
    <w:rsid w:val="008C25E4"/>
    <w:rsid w:val="008C2797"/>
    <w:rsid w:val="008C2B3B"/>
    <w:rsid w:val="008C2C2E"/>
    <w:rsid w:val="008C2EDB"/>
    <w:rsid w:val="008C2FBD"/>
    <w:rsid w:val="008C3107"/>
    <w:rsid w:val="008C31CB"/>
    <w:rsid w:val="008C3279"/>
    <w:rsid w:val="008C3617"/>
    <w:rsid w:val="008C382E"/>
    <w:rsid w:val="008C3C30"/>
    <w:rsid w:val="008C3D00"/>
    <w:rsid w:val="008C41E0"/>
    <w:rsid w:val="008C491F"/>
    <w:rsid w:val="008C4A59"/>
    <w:rsid w:val="008C4F83"/>
    <w:rsid w:val="008C515E"/>
    <w:rsid w:val="008C5372"/>
    <w:rsid w:val="008C5721"/>
    <w:rsid w:val="008C5935"/>
    <w:rsid w:val="008C5AC1"/>
    <w:rsid w:val="008C5BB7"/>
    <w:rsid w:val="008C5E12"/>
    <w:rsid w:val="008C5EE3"/>
    <w:rsid w:val="008C5F29"/>
    <w:rsid w:val="008C616D"/>
    <w:rsid w:val="008C665E"/>
    <w:rsid w:val="008C6722"/>
    <w:rsid w:val="008C67CB"/>
    <w:rsid w:val="008C6B34"/>
    <w:rsid w:val="008C6C9A"/>
    <w:rsid w:val="008C701E"/>
    <w:rsid w:val="008C732C"/>
    <w:rsid w:val="008C74A7"/>
    <w:rsid w:val="008C7558"/>
    <w:rsid w:val="008C769B"/>
    <w:rsid w:val="008C7D33"/>
    <w:rsid w:val="008C7F02"/>
    <w:rsid w:val="008C7F1B"/>
    <w:rsid w:val="008D000C"/>
    <w:rsid w:val="008D0012"/>
    <w:rsid w:val="008D062F"/>
    <w:rsid w:val="008D0C0C"/>
    <w:rsid w:val="008D0CE1"/>
    <w:rsid w:val="008D0D60"/>
    <w:rsid w:val="008D0D67"/>
    <w:rsid w:val="008D11EB"/>
    <w:rsid w:val="008D13EB"/>
    <w:rsid w:val="008D13FC"/>
    <w:rsid w:val="008D13FF"/>
    <w:rsid w:val="008D1524"/>
    <w:rsid w:val="008D1A1D"/>
    <w:rsid w:val="008D1B13"/>
    <w:rsid w:val="008D1B64"/>
    <w:rsid w:val="008D2265"/>
    <w:rsid w:val="008D2388"/>
    <w:rsid w:val="008D24A1"/>
    <w:rsid w:val="008D269E"/>
    <w:rsid w:val="008D26E7"/>
    <w:rsid w:val="008D2765"/>
    <w:rsid w:val="008D2817"/>
    <w:rsid w:val="008D2F1D"/>
    <w:rsid w:val="008D313B"/>
    <w:rsid w:val="008D3870"/>
    <w:rsid w:val="008D4162"/>
    <w:rsid w:val="008D41F9"/>
    <w:rsid w:val="008D47CC"/>
    <w:rsid w:val="008D4977"/>
    <w:rsid w:val="008D4DE6"/>
    <w:rsid w:val="008D4E54"/>
    <w:rsid w:val="008D54A2"/>
    <w:rsid w:val="008D5821"/>
    <w:rsid w:val="008D5912"/>
    <w:rsid w:val="008D59C7"/>
    <w:rsid w:val="008D5C40"/>
    <w:rsid w:val="008D5C9D"/>
    <w:rsid w:val="008D5F89"/>
    <w:rsid w:val="008D6106"/>
    <w:rsid w:val="008D64DE"/>
    <w:rsid w:val="008D669D"/>
    <w:rsid w:val="008D6A8E"/>
    <w:rsid w:val="008D6ED1"/>
    <w:rsid w:val="008D710F"/>
    <w:rsid w:val="008E098B"/>
    <w:rsid w:val="008E0FB3"/>
    <w:rsid w:val="008E1359"/>
    <w:rsid w:val="008E1374"/>
    <w:rsid w:val="008E1718"/>
    <w:rsid w:val="008E179E"/>
    <w:rsid w:val="008E1920"/>
    <w:rsid w:val="008E1A78"/>
    <w:rsid w:val="008E1B25"/>
    <w:rsid w:val="008E1B98"/>
    <w:rsid w:val="008E1B9A"/>
    <w:rsid w:val="008E1CD5"/>
    <w:rsid w:val="008E1F0A"/>
    <w:rsid w:val="008E21EE"/>
    <w:rsid w:val="008E25F2"/>
    <w:rsid w:val="008E29DD"/>
    <w:rsid w:val="008E2E0A"/>
    <w:rsid w:val="008E2F14"/>
    <w:rsid w:val="008E3367"/>
    <w:rsid w:val="008E37E7"/>
    <w:rsid w:val="008E3873"/>
    <w:rsid w:val="008E3A1F"/>
    <w:rsid w:val="008E3B34"/>
    <w:rsid w:val="008E3DD1"/>
    <w:rsid w:val="008E40C7"/>
    <w:rsid w:val="008E4152"/>
    <w:rsid w:val="008E4C89"/>
    <w:rsid w:val="008E4E92"/>
    <w:rsid w:val="008E4EA3"/>
    <w:rsid w:val="008E4ECD"/>
    <w:rsid w:val="008E518F"/>
    <w:rsid w:val="008E51AF"/>
    <w:rsid w:val="008E530C"/>
    <w:rsid w:val="008E548A"/>
    <w:rsid w:val="008E559F"/>
    <w:rsid w:val="008E5750"/>
    <w:rsid w:val="008E5818"/>
    <w:rsid w:val="008E5BFB"/>
    <w:rsid w:val="008E5C1F"/>
    <w:rsid w:val="008E5E62"/>
    <w:rsid w:val="008E5EC7"/>
    <w:rsid w:val="008E657C"/>
    <w:rsid w:val="008E666A"/>
    <w:rsid w:val="008E69BA"/>
    <w:rsid w:val="008E6B5D"/>
    <w:rsid w:val="008E72E2"/>
    <w:rsid w:val="008E738B"/>
    <w:rsid w:val="008E7426"/>
    <w:rsid w:val="008E74A2"/>
    <w:rsid w:val="008E7996"/>
    <w:rsid w:val="008E7DDA"/>
    <w:rsid w:val="008E7F48"/>
    <w:rsid w:val="008F0150"/>
    <w:rsid w:val="008F0FAD"/>
    <w:rsid w:val="008F1320"/>
    <w:rsid w:val="008F1585"/>
    <w:rsid w:val="008F1611"/>
    <w:rsid w:val="008F17FF"/>
    <w:rsid w:val="008F1876"/>
    <w:rsid w:val="008F1883"/>
    <w:rsid w:val="008F1904"/>
    <w:rsid w:val="008F1AFA"/>
    <w:rsid w:val="008F1B52"/>
    <w:rsid w:val="008F1FDD"/>
    <w:rsid w:val="008F2480"/>
    <w:rsid w:val="008F2641"/>
    <w:rsid w:val="008F2830"/>
    <w:rsid w:val="008F2916"/>
    <w:rsid w:val="008F29E7"/>
    <w:rsid w:val="008F2B3D"/>
    <w:rsid w:val="008F2D46"/>
    <w:rsid w:val="008F2E00"/>
    <w:rsid w:val="008F318F"/>
    <w:rsid w:val="008F3DD9"/>
    <w:rsid w:val="008F40C2"/>
    <w:rsid w:val="008F4312"/>
    <w:rsid w:val="008F44A3"/>
    <w:rsid w:val="008F4981"/>
    <w:rsid w:val="008F4B82"/>
    <w:rsid w:val="008F5277"/>
    <w:rsid w:val="008F52D1"/>
    <w:rsid w:val="008F5958"/>
    <w:rsid w:val="008F5E79"/>
    <w:rsid w:val="008F5FC6"/>
    <w:rsid w:val="008F630B"/>
    <w:rsid w:val="008F670C"/>
    <w:rsid w:val="008F696C"/>
    <w:rsid w:val="008F6C67"/>
    <w:rsid w:val="008F6EAE"/>
    <w:rsid w:val="008F6F98"/>
    <w:rsid w:val="008F70D1"/>
    <w:rsid w:val="008F73AF"/>
    <w:rsid w:val="008F7875"/>
    <w:rsid w:val="008F7914"/>
    <w:rsid w:val="008F7957"/>
    <w:rsid w:val="008F7B0A"/>
    <w:rsid w:val="008F7FC9"/>
    <w:rsid w:val="00900121"/>
    <w:rsid w:val="0090014D"/>
    <w:rsid w:val="009001CD"/>
    <w:rsid w:val="00900488"/>
    <w:rsid w:val="00900558"/>
    <w:rsid w:val="0090066E"/>
    <w:rsid w:val="009006A6"/>
    <w:rsid w:val="0090077D"/>
    <w:rsid w:val="0090077F"/>
    <w:rsid w:val="00900A6D"/>
    <w:rsid w:val="009013F1"/>
    <w:rsid w:val="009014F1"/>
    <w:rsid w:val="0090154F"/>
    <w:rsid w:val="009016D7"/>
    <w:rsid w:val="0090185E"/>
    <w:rsid w:val="00901861"/>
    <w:rsid w:val="00901A4C"/>
    <w:rsid w:val="00902012"/>
    <w:rsid w:val="009022BB"/>
    <w:rsid w:val="00902330"/>
    <w:rsid w:val="009024AD"/>
    <w:rsid w:val="00902603"/>
    <w:rsid w:val="00902798"/>
    <w:rsid w:val="00902951"/>
    <w:rsid w:val="00903155"/>
    <w:rsid w:val="00903888"/>
    <w:rsid w:val="00903A51"/>
    <w:rsid w:val="00903AC3"/>
    <w:rsid w:val="00903CD3"/>
    <w:rsid w:val="0090412E"/>
    <w:rsid w:val="00904179"/>
    <w:rsid w:val="00904536"/>
    <w:rsid w:val="0090478A"/>
    <w:rsid w:val="00904C9B"/>
    <w:rsid w:val="00904D7D"/>
    <w:rsid w:val="00904D8D"/>
    <w:rsid w:val="00904DC9"/>
    <w:rsid w:val="00905488"/>
    <w:rsid w:val="00905528"/>
    <w:rsid w:val="009058CF"/>
    <w:rsid w:val="00905998"/>
    <w:rsid w:val="00905F82"/>
    <w:rsid w:val="009063C7"/>
    <w:rsid w:val="009065C7"/>
    <w:rsid w:val="009066CD"/>
    <w:rsid w:val="009069FE"/>
    <w:rsid w:val="00906FB4"/>
    <w:rsid w:val="00906FE0"/>
    <w:rsid w:val="00907065"/>
    <w:rsid w:val="009073E4"/>
    <w:rsid w:val="0090743C"/>
    <w:rsid w:val="00907640"/>
    <w:rsid w:val="0090765A"/>
    <w:rsid w:val="009079DD"/>
    <w:rsid w:val="009102A7"/>
    <w:rsid w:val="0091064B"/>
    <w:rsid w:val="009108F3"/>
    <w:rsid w:val="009109E2"/>
    <w:rsid w:val="00910A44"/>
    <w:rsid w:val="00910AB9"/>
    <w:rsid w:val="00910FD3"/>
    <w:rsid w:val="00911148"/>
    <w:rsid w:val="0091125B"/>
    <w:rsid w:val="00911569"/>
    <w:rsid w:val="009119A5"/>
    <w:rsid w:val="00911D86"/>
    <w:rsid w:val="00912030"/>
    <w:rsid w:val="00912159"/>
    <w:rsid w:val="009121FA"/>
    <w:rsid w:val="0091258D"/>
    <w:rsid w:val="009126D8"/>
    <w:rsid w:val="00912730"/>
    <w:rsid w:val="009127F4"/>
    <w:rsid w:val="009127F6"/>
    <w:rsid w:val="00912807"/>
    <w:rsid w:val="00912A0D"/>
    <w:rsid w:val="00912A5F"/>
    <w:rsid w:val="00912B3E"/>
    <w:rsid w:val="00912D1D"/>
    <w:rsid w:val="00912E83"/>
    <w:rsid w:val="00912EA3"/>
    <w:rsid w:val="009131B9"/>
    <w:rsid w:val="009135E4"/>
    <w:rsid w:val="00913C7A"/>
    <w:rsid w:val="00913CBF"/>
    <w:rsid w:val="00914089"/>
    <w:rsid w:val="0091438C"/>
    <w:rsid w:val="009144B5"/>
    <w:rsid w:val="009145E6"/>
    <w:rsid w:val="0091465B"/>
    <w:rsid w:val="009146F6"/>
    <w:rsid w:val="009148CB"/>
    <w:rsid w:val="00914F9F"/>
    <w:rsid w:val="00915210"/>
    <w:rsid w:val="00915474"/>
    <w:rsid w:val="00915863"/>
    <w:rsid w:val="00915955"/>
    <w:rsid w:val="00915BDB"/>
    <w:rsid w:val="00915BFE"/>
    <w:rsid w:val="00915E4B"/>
    <w:rsid w:val="00915E74"/>
    <w:rsid w:val="00915F75"/>
    <w:rsid w:val="009160A4"/>
    <w:rsid w:val="009160B8"/>
    <w:rsid w:val="00916104"/>
    <w:rsid w:val="0091614D"/>
    <w:rsid w:val="0091634E"/>
    <w:rsid w:val="009163FF"/>
    <w:rsid w:val="009164EF"/>
    <w:rsid w:val="00916B14"/>
    <w:rsid w:val="00916B2E"/>
    <w:rsid w:val="00916B8B"/>
    <w:rsid w:val="00916BC6"/>
    <w:rsid w:val="00916DA0"/>
    <w:rsid w:val="00916ED7"/>
    <w:rsid w:val="00916FFA"/>
    <w:rsid w:val="00917A57"/>
    <w:rsid w:val="00917DC9"/>
    <w:rsid w:val="00917E2B"/>
    <w:rsid w:val="00917EE2"/>
    <w:rsid w:val="00917F0A"/>
    <w:rsid w:val="00917FB6"/>
    <w:rsid w:val="0092046F"/>
    <w:rsid w:val="00920707"/>
    <w:rsid w:val="009207A6"/>
    <w:rsid w:val="00921783"/>
    <w:rsid w:val="0092193F"/>
    <w:rsid w:val="00921C1A"/>
    <w:rsid w:val="00921DAB"/>
    <w:rsid w:val="00921E40"/>
    <w:rsid w:val="00921EC8"/>
    <w:rsid w:val="00922225"/>
    <w:rsid w:val="00922277"/>
    <w:rsid w:val="00922404"/>
    <w:rsid w:val="009224E0"/>
    <w:rsid w:val="009229A2"/>
    <w:rsid w:val="009229DE"/>
    <w:rsid w:val="009229F8"/>
    <w:rsid w:val="00922E70"/>
    <w:rsid w:val="00922E80"/>
    <w:rsid w:val="00923761"/>
    <w:rsid w:val="00923894"/>
    <w:rsid w:val="0092393A"/>
    <w:rsid w:val="00923A65"/>
    <w:rsid w:val="00923F47"/>
    <w:rsid w:val="0092439F"/>
    <w:rsid w:val="00924611"/>
    <w:rsid w:val="00924866"/>
    <w:rsid w:val="00924900"/>
    <w:rsid w:val="009249F1"/>
    <w:rsid w:val="00924AC1"/>
    <w:rsid w:val="00924DEE"/>
    <w:rsid w:val="00925406"/>
    <w:rsid w:val="00925526"/>
    <w:rsid w:val="00925681"/>
    <w:rsid w:val="00925A7E"/>
    <w:rsid w:val="00925A81"/>
    <w:rsid w:val="00925C83"/>
    <w:rsid w:val="00925CF0"/>
    <w:rsid w:val="00925F97"/>
    <w:rsid w:val="00926095"/>
    <w:rsid w:val="0092617A"/>
    <w:rsid w:val="009261E8"/>
    <w:rsid w:val="0092633A"/>
    <w:rsid w:val="00926372"/>
    <w:rsid w:val="009264A4"/>
    <w:rsid w:val="00926A92"/>
    <w:rsid w:val="00926AEE"/>
    <w:rsid w:val="00926E69"/>
    <w:rsid w:val="00926E75"/>
    <w:rsid w:val="00927266"/>
    <w:rsid w:val="00927A08"/>
    <w:rsid w:val="00927C94"/>
    <w:rsid w:val="0093004D"/>
    <w:rsid w:val="009301C8"/>
    <w:rsid w:val="00930630"/>
    <w:rsid w:val="00930990"/>
    <w:rsid w:val="00930AE1"/>
    <w:rsid w:val="00930AEB"/>
    <w:rsid w:val="00930BDC"/>
    <w:rsid w:val="00930E7E"/>
    <w:rsid w:val="00930EF7"/>
    <w:rsid w:val="00931038"/>
    <w:rsid w:val="00931194"/>
    <w:rsid w:val="0093125C"/>
    <w:rsid w:val="00931267"/>
    <w:rsid w:val="00931652"/>
    <w:rsid w:val="009317B8"/>
    <w:rsid w:val="00931810"/>
    <w:rsid w:val="00931855"/>
    <w:rsid w:val="00931939"/>
    <w:rsid w:val="00931DFC"/>
    <w:rsid w:val="00931F33"/>
    <w:rsid w:val="0093242B"/>
    <w:rsid w:val="00932483"/>
    <w:rsid w:val="00932BD0"/>
    <w:rsid w:val="00932C6A"/>
    <w:rsid w:val="00932D39"/>
    <w:rsid w:val="00932DCA"/>
    <w:rsid w:val="00932F19"/>
    <w:rsid w:val="00932F8D"/>
    <w:rsid w:val="0093340E"/>
    <w:rsid w:val="00933888"/>
    <w:rsid w:val="00933A75"/>
    <w:rsid w:val="00933B36"/>
    <w:rsid w:val="00933B6F"/>
    <w:rsid w:val="00934627"/>
    <w:rsid w:val="009346AD"/>
    <w:rsid w:val="009347E8"/>
    <w:rsid w:val="009349AC"/>
    <w:rsid w:val="00934A44"/>
    <w:rsid w:val="00934A9A"/>
    <w:rsid w:val="00934CAD"/>
    <w:rsid w:val="00934CE8"/>
    <w:rsid w:val="00934DC5"/>
    <w:rsid w:val="0093567A"/>
    <w:rsid w:val="00935B6F"/>
    <w:rsid w:val="00935DE6"/>
    <w:rsid w:val="00935DEA"/>
    <w:rsid w:val="00935F1C"/>
    <w:rsid w:val="009360D6"/>
    <w:rsid w:val="00936282"/>
    <w:rsid w:val="009363CF"/>
    <w:rsid w:val="009364AF"/>
    <w:rsid w:val="00936510"/>
    <w:rsid w:val="00936BC7"/>
    <w:rsid w:val="00936D74"/>
    <w:rsid w:val="00936E08"/>
    <w:rsid w:val="00937287"/>
    <w:rsid w:val="0093763D"/>
    <w:rsid w:val="00937824"/>
    <w:rsid w:val="00937886"/>
    <w:rsid w:val="009379AB"/>
    <w:rsid w:val="00937A49"/>
    <w:rsid w:val="0094048A"/>
    <w:rsid w:val="0094057D"/>
    <w:rsid w:val="0094073B"/>
    <w:rsid w:val="00940A35"/>
    <w:rsid w:val="00940F40"/>
    <w:rsid w:val="00941336"/>
    <w:rsid w:val="00941986"/>
    <w:rsid w:val="009419B9"/>
    <w:rsid w:val="00941FA0"/>
    <w:rsid w:val="0094253C"/>
    <w:rsid w:val="009426C7"/>
    <w:rsid w:val="0094277C"/>
    <w:rsid w:val="009428AD"/>
    <w:rsid w:val="00942CAE"/>
    <w:rsid w:val="0094330F"/>
    <w:rsid w:val="009434D9"/>
    <w:rsid w:val="0094398C"/>
    <w:rsid w:val="00943B37"/>
    <w:rsid w:val="00943DA2"/>
    <w:rsid w:val="00944102"/>
    <w:rsid w:val="009442E8"/>
    <w:rsid w:val="009444A3"/>
    <w:rsid w:val="00944B56"/>
    <w:rsid w:val="00944D12"/>
    <w:rsid w:val="00944DE1"/>
    <w:rsid w:val="00944E3D"/>
    <w:rsid w:val="00945361"/>
    <w:rsid w:val="00945476"/>
    <w:rsid w:val="009454BD"/>
    <w:rsid w:val="00945594"/>
    <w:rsid w:val="00945835"/>
    <w:rsid w:val="00945E1B"/>
    <w:rsid w:val="00945E26"/>
    <w:rsid w:val="00945E92"/>
    <w:rsid w:val="00945F53"/>
    <w:rsid w:val="009466EE"/>
    <w:rsid w:val="0094698E"/>
    <w:rsid w:val="00946A63"/>
    <w:rsid w:val="00946D90"/>
    <w:rsid w:val="00946EB8"/>
    <w:rsid w:val="00947138"/>
    <w:rsid w:val="00947179"/>
    <w:rsid w:val="00947304"/>
    <w:rsid w:val="00947548"/>
    <w:rsid w:val="00947659"/>
    <w:rsid w:val="009477B7"/>
    <w:rsid w:val="00947810"/>
    <w:rsid w:val="00947996"/>
    <w:rsid w:val="00947A34"/>
    <w:rsid w:val="00947B2E"/>
    <w:rsid w:val="00947B41"/>
    <w:rsid w:val="00947FB8"/>
    <w:rsid w:val="0095038E"/>
    <w:rsid w:val="00950514"/>
    <w:rsid w:val="00950BC8"/>
    <w:rsid w:val="00950DAB"/>
    <w:rsid w:val="00950EDE"/>
    <w:rsid w:val="009511A3"/>
    <w:rsid w:val="00951272"/>
    <w:rsid w:val="009516A3"/>
    <w:rsid w:val="009517CE"/>
    <w:rsid w:val="00951CFE"/>
    <w:rsid w:val="00951D6A"/>
    <w:rsid w:val="00951FA1"/>
    <w:rsid w:val="0095239C"/>
    <w:rsid w:val="00952495"/>
    <w:rsid w:val="0095252D"/>
    <w:rsid w:val="009525AD"/>
    <w:rsid w:val="009526DE"/>
    <w:rsid w:val="00952E65"/>
    <w:rsid w:val="0095385B"/>
    <w:rsid w:val="009539EA"/>
    <w:rsid w:val="00953B34"/>
    <w:rsid w:val="00953EA5"/>
    <w:rsid w:val="009540DC"/>
    <w:rsid w:val="00954122"/>
    <w:rsid w:val="009549EC"/>
    <w:rsid w:val="00954A47"/>
    <w:rsid w:val="00954A69"/>
    <w:rsid w:val="00954C18"/>
    <w:rsid w:val="00954CA2"/>
    <w:rsid w:val="00954F08"/>
    <w:rsid w:val="009552EF"/>
    <w:rsid w:val="009552F7"/>
    <w:rsid w:val="0095546B"/>
    <w:rsid w:val="009554ED"/>
    <w:rsid w:val="00955A60"/>
    <w:rsid w:val="00955AC4"/>
    <w:rsid w:val="00955E7C"/>
    <w:rsid w:val="009561B1"/>
    <w:rsid w:val="00956214"/>
    <w:rsid w:val="009563F6"/>
    <w:rsid w:val="00956521"/>
    <w:rsid w:val="00956613"/>
    <w:rsid w:val="009569CB"/>
    <w:rsid w:val="009569EB"/>
    <w:rsid w:val="00957431"/>
    <w:rsid w:val="009575E1"/>
    <w:rsid w:val="009577FF"/>
    <w:rsid w:val="00960256"/>
    <w:rsid w:val="0096056E"/>
    <w:rsid w:val="00960A55"/>
    <w:rsid w:val="00960B67"/>
    <w:rsid w:val="00960BC7"/>
    <w:rsid w:val="00960FF8"/>
    <w:rsid w:val="009610B3"/>
    <w:rsid w:val="009611BF"/>
    <w:rsid w:val="0096166D"/>
    <w:rsid w:val="00961679"/>
    <w:rsid w:val="00961ACD"/>
    <w:rsid w:val="00961C18"/>
    <w:rsid w:val="00961E94"/>
    <w:rsid w:val="00961EF3"/>
    <w:rsid w:val="00962129"/>
    <w:rsid w:val="009626C0"/>
    <w:rsid w:val="00962727"/>
    <w:rsid w:val="00962D2B"/>
    <w:rsid w:val="00962D46"/>
    <w:rsid w:val="00962E9F"/>
    <w:rsid w:val="009630CA"/>
    <w:rsid w:val="009632C9"/>
    <w:rsid w:val="009632FE"/>
    <w:rsid w:val="00963376"/>
    <w:rsid w:val="00963C27"/>
    <w:rsid w:val="00964625"/>
    <w:rsid w:val="00964D16"/>
    <w:rsid w:val="00964D4B"/>
    <w:rsid w:val="00964F83"/>
    <w:rsid w:val="00965369"/>
    <w:rsid w:val="00965700"/>
    <w:rsid w:val="0096578B"/>
    <w:rsid w:val="0096596F"/>
    <w:rsid w:val="00965E98"/>
    <w:rsid w:val="009666F5"/>
    <w:rsid w:val="009667EE"/>
    <w:rsid w:val="00966837"/>
    <w:rsid w:val="00966968"/>
    <w:rsid w:val="00966F4E"/>
    <w:rsid w:val="00966FBD"/>
    <w:rsid w:val="0096707F"/>
    <w:rsid w:val="00967341"/>
    <w:rsid w:val="00967437"/>
    <w:rsid w:val="00967C2D"/>
    <w:rsid w:val="00967C69"/>
    <w:rsid w:val="00967E88"/>
    <w:rsid w:val="00967EA4"/>
    <w:rsid w:val="00967EB5"/>
    <w:rsid w:val="00967EFE"/>
    <w:rsid w:val="00970185"/>
    <w:rsid w:val="009702B9"/>
    <w:rsid w:val="0097036C"/>
    <w:rsid w:val="00970433"/>
    <w:rsid w:val="009704E2"/>
    <w:rsid w:val="009710B6"/>
    <w:rsid w:val="009717DB"/>
    <w:rsid w:val="0097192E"/>
    <w:rsid w:val="009719B4"/>
    <w:rsid w:val="00971AD0"/>
    <w:rsid w:val="00971BA0"/>
    <w:rsid w:val="00971CB9"/>
    <w:rsid w:val="0097202E"/>
    <w:rsid w:val="009720B6"/>
    <w:rsid w:val="009720D8"/>
    <w:rsid w:val="00972241"/>
    <w:rsid w:val="00972591"/>
    <w:rsid w:val="0097260E"/>
    <w:rsid w:val="0097285D"/>
    <w:rsid w:val="00972D29"/>
    <w:rsid w:val="0097300B"/>
    <w:rsid w:val="009730FB"/>
    <w:rsid w:val="00973107"/>
    <w:rsid w:val="0097316B"/>
    <w:rsid w:val="0097340E"/>
    <w:rsid w:val="00973544"/>
    <w:rsid w:val="0097354A"/>
    <w:rsid w:val="00973BE5"/>
    <w:rsid w:val="0097438F"/>
    <w:rsid w:val="00974957"/>
    <w:rsid w:val="0097496C"/>
    <w:rsid w:val="00974A18"/>
    <w:rsid w:val="00974AEF"/>
    <w:rsid w:val="00974C26"/>
    <w:rsid w:val="00974DA6"/>
    <w:rsid w:val="00974FAA"/>
    <w:rsid w:val="00975084"/>
    <w:rsid w:val="009751DA"/>
    <w:rsid w:val="00975332"/>
    <w:rsid w:val="00975D3B"/>
    <w:rsid w:val="00975DC2"/>
    <w:rsid w:val="00975FD0"/>
    <w:rsid w:val="009760A3"/>
    <w:rsid w:val="0097619A"/>
    <w:rsid w:val="00976203"/>
    <w:rsid w:val="00976316"/>
    <w:rsid w:val="00976809"/>
    <w:rsid w:val="009769F1"/>
    <w:rsid w:val="00976A91"/>
    <w:rsid w:val="00976BF8"/>
    <w:rsid w:val="00976D31"/>
    <w:rsid w:val="009770A2"/>
    <w:rsid w:val="00977184"/>
    <w:rsid w:val="0097718F"/>
    <w:rsid w:val="00977253"/>
    <w:rsid w:val="009775DE"/>
    <w:rsid w:val="0097766E"/>
    <w:rsid w:val="009777BD"/>
    <w:rsid w:val="00977897"/>
    <w:rsid w:val="0097793B"/>
    <w:rsid w:val="00977AB8"/>
    <w:rsid w:val="00977D25"/>
    <w:rsid w:val="00977D4C"/>
    <w:rsid w:val="00977E6C"/>
    <w:rsid w:val="009801E7"/>
    <w:rsid w:val="009802C9"/>
    <w:rsid w:val="009804B4"/>
    <w:rsid w:val="00980583"/>
    <w:rsid w:val="009806E2"/>
    <w:rsid w:val="009808FD"/>
    <w:rsid w:val="009809DA"/>
    <w:rsid w:val="00980DD8"/>
    <w:rsid w:val="00981049"/>
    <w:rsid w:val="00981274"/>
    <w:rsid w:val="0098131E"/>
    <w:rsid w:val="00981346"/>
    <w:rsid w:val="00981FD4"/>
    <w:rsid w:val="0098211C"/>
    <w:rsid w:val="009823EB"/>
    <w:rsid w:val="00982608"/>
    <w:rsid w:val="00982BA1"/>
    <w:rsid w:val="00982DCC"/>
    <w:rsid w:val="00982E1D"/>
    <w:rsid w:val="00982F0E"/>
    <w:rsid w:val="0098331A"/>
    <w:rsid w:val="009833D0"/>
    <w:rsid w:val="00983886"/>
    <w:rsid w:val="00983913"/>
    <w:rsid w:val="009846A8"/>
    <w:rsid w:val="009846BF"/>
    <w:rsid w:val="00984A1F"/>
    <w:rsid w:val="00984B7C"/>
    <w:rsid w:val="00984F4E"/>
    <w:rsid w:val="00984F5C"/>
    <w:rsid w:val="00985255"/>
    <w:rsid w:val="00985299"/>
    <w:rsid w:val="009852F3"/>
    <w:rsid w:val="009854F1"/>
    <w:rsid w:val="009856E6"/>
    <w:rsid w:val="00985ABF"/>
    <w:rsid w:val="0098606D"/>
    <w:rsid w:val="009862AF"/>
    <w:rsid w:val="009864B0"/>
    <w:rsid w:val="00986780"/>
    <w:rsid w:val="00986888"/>
    <w:rsid w:val="009869F2"/>
    <w:rsid w:val="00986DE8"/>
    <w:rsid w:val="00987056"/>
    <w:rsid w:val="00987328"/>
    <w:rsid w:val="0099044A"/>
    <w:rsid w:val="00990626"/>
    <w:rsid w:val="00990672"/>
    <w:rsid w:val="0099070D"/>
    <w:rsid w:val="00990E22"/>
    <w:rsid w:val="009912AE"/>
    <w:rsid w:val="00991685"/>
    <w:rsid w:val="009917CD"/>
    <w:rsid w:val="00991B6B"/>
    <w:rsid w:val="00991C2A"/>
    <w:rsid w:val="00991CA4"/>
    <w:rsid w:val="00991E23"/>
    <w:rsid w:val="00991E4A"/>
    <w:rsid w:val="00991F7E"/>
    <w:rsid w:val="00991F89"/>
    <w:rsid w:val="009924B9"/>
    <w:rsid w:val="009927FA"/>
    <w:rsid w:val="00992945"/>
    <w:rsid w:val="00992CB6"/>
    <w:rsid w:val="00992CBB"/>
    <w:rsid w:val="00992EE1"/>
    <w:rsid w:val="00992F4F"/>
    <w:rsid w:val="00993448"/>
    <w:rsid w:val="009937DF"/>
    <w:rsid w:val="00993B66"/>
    <w:rsid w:val="00993F2C"/>
    <w:rsid w:val="00993FEB"/>
    <w:rsid w:val="00994030"/>
    <w:rsid w:val="00994240"/>
    <w:rsid w:val="0099424E"/>
    <w:rsid w:val="0099439A"/>
    <w:rsid w:val="00994537"/>
    <w:rsid w:val="009949B3"/>
    <w:rsid w:val="00994BB1"/>
    <w:rsid w:val="00995119"/>
    <w:rsid w:val="00995572"/>
    <w:rsid w:val="0099575D"/>
    <w:rsid w:val="00995763"/>
    <w:rsid w:val="00995B64"/>
    <w:rsid w:val="00995CB9"/>
    <w:rsid w:val="00996385"/>
    <w:rsid w:val="009966AE"/>
    <w:rsid w:val="009967F2"/>
    <w:rsid w:val="00996867"/>
    <w:rsid w:val="00997568"/>
    <w:rsid w:val="0099758A"/>
    <w:rsid w:val="00997642"/>
    <w:rsid w:val="00997790"/>
    <w:rsid w:val="009977A1"/>
    <w:rsid w:val="00997BF5"/>
    <w:rsid w:val="009A012E"/>
    <w:rsid w:val="009A01D8"/>
    <w:rsid w:val="009A073E"/>
    <w:rsid w:val="009A0837"/>
    <w:rsid w:val="009A0C09"/>
    <w:rsid w:val="009A1039"/>
    <w:rsid w:val="009A110E"/>
    <w:rsid w:val="009A121A"/>
    <w:rsid w:val="009A12FE"/>
    <w:rsid w:val="009A13FD"/>
    <w:rsid w:val="009A19D0"/>
    <w:rsid w:val="009A1A1F"/>
    <w:rsid w:val="009A1CB1"/>
    <w:rsid w:val="009A1D8A"/>
    <w:rsid w:val="009A2169"/>
    <w:rsid w:val="009A21BD"/>
    <w:rsid w:val="009A21EA"/>
    <w:rsid w:val="009A2329"/>
    <w:rsid w:val="009A25CC"/>
    <w:rsid w:val="009A25EC"/>
    <w:rsid w:val="009A28E1"/>
    <w:rsid w:val="009A2A78"/>
    <w:rsid w:val="009A2ACF"/>
    <w:rsid w:val="009A2D6B"/>
    <w:rsid w:val="009A319C"/>
    <w:rsid w:val="009A3419"/>
    <w:rsid w:val="009A38E6"/>
    <w:rsid w:val="009A3989"/>
    <w:rsid w:val="009A3A31"/>
    <w:rsid w:val="009A3C25"/>
    <w:rsid w:val="009A3C7E"/>
    <w:rsid w:val="009A3C9A"/>
    <w:rsid w:val="009A3DCD"/>
    <w:rsid w:val="009A3F39"/>
    <w:rsid w:val="009A405A"/>
    <w:rsid w:val="009A408E"/>
    <w:rsid w:val="009A40AE"/>
    <w:rsid w:val="009A410A"/>
    <w:rsid w:val="009A438E"/>
    <w:rsid w:val="009A468A"/>
    <w:rsid w:val="009A5255"/>
    <w:rsid w:val="009A52F1"/>
    <w:rsid w:val="009A5380"/>
    <w:rsid w:val="009A54A7"/>
    <w:rsid w:val="009A561C"/>
    <w:rsid w:val="009A5899"/>
    <w:rsid w:val="009A593D"/>
    <w:rsid w:val="009A6138"/>
    <w:rsid w:val="009A62A9"/>
    <w:rsid w:val="009A66D0"/>
    <w:rsid w:val="009A66EC"/>
    <w:rsid w:val="009A6AEF"/>
    <w:rsid w:val="009A727B"/>
    <w:rsid w:val="009A7E65"/>
    <w:rsid w:val="009B01FC"/>
    <w:rsid w:val="009B0287"/>
    <w:rsid w:val="009B0356"/>
    <w:rsid w:val="009B047C"/>
    <w:rsid w:val="009B0616"/>
    <w:rsid w:val="009B08FB"/>
    <w:rsid w:val="009B0DB6"/>
    <w:rsid w:val="009B0E0D"/>
    <w:rsid w:val="009B0E1B"/>
    <w:rsid w:val="009B0E9D"/>
    <w:rsid w:val="009B11C9"/>
    <w:rsid w:val="009B12A4"/>
    <w:rsid w:val="009B1614"/>
    <w:rsid w:val="009B1BFE"/>
    <w:rsid w:val="009B1E22"/>
    <w:rsid w:val="009B21A4"/>
    <w:rsid w:val="009B21B9"/>
    <w:rsid w:val="009B220C"/>
    <w:rsid w:val="009B24DD"/>
    <w:rsid w:val="009B35C9"/>
    <w:rsid w:val="009B36D0"/>
    <w:rsid w:val="009B371A"/>
    <w:rsid w:val="009B3BD2"/>
    <w:rsid w:val="009B400B"/>
    <w:rsid w:val="009B407E"/>
    <w:rsid w:val="009B42E8"/>
    <w:rsid w:val="009B4E3C"/>
    <w:rsid w:val="009B4F40"/>
    <w:rsid w:val="009B6097"/>
    <w:rsid w:val="009B60A4"/>
    <w:rsid w:val="009B69E2"/>
    <w:rsid w:val="009B6AC1"/>
    <w:rsid w:val="009B6B5A"/>
    <w:rsid w:val="009B6B86"/>
    <w:rsid w:val="009B6F71"/>
    <w:rsid w:val="009B7013"/>
    <w:rsid w:val="009B7367"/>
    <w:rsid w:val="009B768B"/>
    <w:rsid w:val="009B7A84"/>
    <w:rsid w:val="009B7B11"/>
    <w:rsid w:val="009C0072"/>
    <w:rsid w:val="009C0C63"/>
    <w:rsid w:val="009C0CC0"/>
    <w:rsid w:val="009C0CEE"/>
    <w:rsid w:val="009C0E8E"/>
    <w:rsid w:val="009C117A"/>
    <w:rsid w:val="009C1408"/>
    <w:rsid w:val="009C1628"/>
    <w:rsid w:val="009C1703"/>
    <w:rsid w:val="009C17C4"/>
    <w:rsid w:val="009C17CA"/>
    <w:rsid w:val="009C19A2"/>
    <w:rsid w:val="009C1C39"/>
    <w:rsid w:val="009C1CC5"/>
    <w:rsid w:val="009C2029"/>
    <w:rsid w:val="009C209E"/>
    <w:rsid w:val="009C20F6"/>
    <w:rsid w:val="009C21E2"/>
    <w:rsid w:val="009C2485"/>
    <w:rsid w:val="009C2A92"/>
    <w:rsid w:val="009C2BA5"/>
    <w:rsid w:val="009C30CB"/>
    <w:rsid w:val="009C31E9"/>
    <w:rsid w:val="009C327C"/>
    <w:rsid w:val="009C33B4"/>
    <w:rsid w:val="009C3A11"/>
    <w:rsid w:val="009C3A30"/>
    <w:rsid w:val="009C3A56"/>
    <w:rsid w:val="009C3AD6"/>
    <w:rsid w:val="009C3CEA"/>
    <w:rsid w:val="009C3E78"/>
    <w:rsid w:val="009C3EB4"/>
    <w:rsid w:val="009C404D"/>
    <w:rsid w:val="009C4921"/>
    <w:rsid w:val="009C4A6B"/>
    <w:rsid w:val="009C4AFC"/>
    <w:rsid w:val="009C4B52"/>
    <w:rsid w:val="009C4C4A"/>
    <w:rsid w:val="009C4E0D"/>
    <w:rsid w:val="009C5BF8"/>
    <w:rsid w:val="009C5E5F"/>
    <w:rsid w:val="009C6046"/>
    <w:rsid w:val="009C6308"/>
    <w:rsid w:val="009C661D"/>
    <w:rsid w:val="009C6666"/>
    <w:rsid w:val="009C69D8"/>
    <w:rsid w:val="009C6A24"/>
    <w:rsid w:val="009C6C4E"/>
    <w:rsid w:val="009C6FDF"/>
    <w:rsid w:val="009C7517"/>
    <w:rsid w:val="009C76AC"/>
    <w:rsid w:val="009C7729"/>
    <w:rsid w:val="009C78BB"/>
    <w:rsid w:val="009C7B48"/>
    <w:rsid w:val="009C7D5D"/>
    <w:rsid w:val="009D008F"/>
    <w:rsid w:val="009D0622"/>
    <w:rsid w:val="009D06A9"/>
    <w:rsid w:val="009D0AD1"/>
    <w:rsid w:val="009D0BE6"/>
    <w:rsid w:val="009D0D35"/>
    <w:rsid w:val="009D0EDA"/>
    <w:rsid w:val="009D0EE6"/>
    <w:rsid w:val="009D0F70"/>
    <w:rsid w:val="009D1221"/>
    <w:rsid w:val="009D1363"/>
    <w:rsid w:val="009D139B"/>
    <w:rsid w:val="009D1410"/>
    <w:rsid w:val="009D1478"/>
    <w:rsid w:val="009D1566"/>
    <w:rsid w:val="009D15F2"/>
    <w:rsid w:val="009D1959"/>
    <w:rsid w:val="009D1BF5"/>
    <w:rsid w:val="009D1C2E"/>
    <w:rsid w:val="009D1C72"/>
    <w:rsid w:val="009D2064"/>
    <w:rsid w:val="009D20B0"/>
    <w:rsid w:val="009D2179"/>
    <w:rsid w:val="009D250D"/>
    <w:rsid w:val="009D25F0"/>
    <w:rsid w:val="009D2754"/>
    <w:rsid w:val="009D2BAC"/>
    <w:rsid w:val="009D3018"/>
    <w:rsid w:val="009D30B7"/>
    <w:rsid w:val="009D32FC"/>
    <w:rsid w:val="009D354D"/>
    <w:rsid w:val="009D385D"/>
    <w:rsid w:val="009D3E78"/>
    <w:rsid w:val="009D3F19"/>
    <w:rsid w:val="009D3F76"/>
    <w:rsid w:val="009D3F98"/>
    <w:rsid w:val="009D4F4A"/>
    <w:rsid w:val="009D5365"/>
    <w:rsid w:val="009D5504"/>
    <w:rsid w:val="009D5AC1"/>
    <w:rsid w:val="009D5B35"/>
    <w:rsid w:val="009D60CF"/>
    <w:rsid w:val="009D61F2"/>
    <w:rsid w:val="009D6512"/>
    <w:rsid w:val="009D6590"/>
    <w:rsid w:val="009D6739"/>
    <w:rsid w:val="009D69F1"/>
    <w:rsid w:val="009D6C52"/>
    <w:rsid w:val="009D7028"/>
    <w:rsid w:val="009D7694"/>
    <w:rsid w:val="009D785A"/>
    <w:rsid w:val="009D7C1E"/>
    <w:rsid w:val="009D7E4B"/>
    <w:rsid w:val="009D7FDB"/>
    <w:rsid w:val="009E0135"/>
    <w:rsid w:val="009E01E0"/>
    <w:rsid w:val="009E0464"/>
    <w:rsid w:val="009E0625"/>
    <w:rsid w:val="009E0AA5"/>
    <w:rsid w:val="009E0C9B"/>
    <w:rsid w:val="009E0EA2"/>
    <w:rsid w:val="009E0F17"/>
    <w:rsid w:val="009E1091"/>
    <w:rsid w:val="009E196A"/>
    <w:rsid w:val="009E1BC2"/>
    <w:rsid w:val="009E1F43"/>
    <w:rsid w:val="009E214D"/>
    <w:rsid w:val="009E2407"/>
    <w:rsid w:val="009E28EC"/>
    <w:rsid w:val="009E2A7D"/>
    <w:rsid w:val="009E2BF3"/>
    <w:rsid w:val="009E308B"/>
    <w:rsid w:val="009E315A"/>
    <w:rsid w:val="009E317B"/>
    <w:rsid w:val="009E34BC"/>
    <w:rsid w:val="009E3C96"/>
    <w:rsid w:val="009E3CA6"/>
    <w:rsid w:val="009E3CD0"/>
    <w:rsid w:val="009E3EA8"/>
    <w:rsid w:val="009E3F17"/>
    <w:rsid w:val="009E46FE"/>
    <w:rsid w:val="009E4841"/>
    <w:rsid w:val="009E489A"/>
    <w:rsid w:val="009E523A"/>
    <w:rsid w:val="009E5328"/>
    <w:rsid w:val="009E53F9"/>
    <w:rsid w:val="009E549A"/>
    <w:rsid w:val="009E66DA"/>
    <w:rsid w:val="009E6CFD"/>
    <w:rsid w:val="009E6D57"/>
    <w:rsid w:val="009E6EA6"/>
    <w:rsid w:val="009E74F3"/>
    <w:rsid w:val="009E776F"/>
    <w:rsid w:val="009E78E7"/>
    <w:rsid w:val="009E7983"/>
    <w:rsid w:val="009F001D"/>
    <w:rsid w:val="009F0177"/>
    <w:rsid w:val="009F060C"/>
    <w:rsid w:val="009F0C99"/>
    <w:rsid w:val="009F0D14"/>
    <w:rsid w:val="009F0F95"/>
    <w:rsid w:val="009F103E"/>
    <w:rsid w:val="009F1163"/>
    <w:rsid w:val="009F11CA"/>
    <w:rsid w:val="009F16D1"/>
    <w:rsid w:val="009F18C0"/>
    <w:rsid w:val="009F1BD2"/>
    <w:rsid w:val="009F1CE9"/>
    <w:rsid w:val="009F2347"/>
    <w:rsid w:val="009F2AC2"/>
    <w:rsid w:val="009F2DD4"/>
    <w:rsid w:val="009F2E31"/>
    <w:rsid w:val="009F331C"/>
    <w:rsid w:val="009F343A"/>
    <w:rsid w:val="009F3500"/>
    <w:rsid w:val="009F35D9"/>
    <w:rsid w:val="009F3777"/>
    <w:rsid w:val="009F38A9"/>
    <w:rsid w:val="009F3D32"/>
    <w:rsid w:val="009F3DBE"/>
    <w:rsid w:val="009F3F1F"/>
    <w:rsid w:val="009F3FAA"/>
    <w:rsid w:val="009F4194"/>
    <w:rsid w:val="009F4282"/>
    <w:rsid w:val="009F434C"/>
    <w:rsid w:val="009F439B"/>
    <w:rsid w:val="009F451A"/>
    <w:rsid w:val="009F4957"/>
    <w:rsid w:val="009F4FB3"/>
    <w:rsid w:val="009F51FA"/>
    <w:rsid w:val="009F54CF"/>
    <w:rsid w:val="009F5648"/>
    <w:rsid w:val="009F56F2"/>
    <w:rsid w:val="009F5717"/>
    <w:rsid w:val="009F5931"/>
    <w:rsid w:val="009F5F64"/>
    <w:rsid w:val="009F63FB"/>
    <w:rsid w:val="009F6959"/>
    <w:rsid w:val="009F6A16"/>
    <w:rsid w:val="009F6B71"/>
    <w:rsid w:val="009F6D40"/>
    <w:rsid w:val="009F7097"/>
    <w:rsid w:val="009F70BC"/>
    <w:rsid w:val="009F71D1"/>
    <w:rsid w:val="009F71FE"/>
    <w:rsid w:val="009F72DD"/>
    <w:rsid w:val="009F734A"/>
    <w:rsid w:val="00A000C0"/>
    <w:rsid w:val="00A003C7"/>
    <w:rsid w:val="00A006FD"/>
    <w:rsid w:val="00A008E8"/>
    <w:rsid w:val="00A00C1A"/>
    <w:rsid w:val="00A00D15"/>
    <w:rsid w:val="00A00DD6"/>
    <w:rsid w:val="00A0137E"/>
    <w:rsid w:val="00A017BA"/>
    <w:rsid w:val="00A0195B"/>
    <w:rsid w:val="00A01EFD"/>
    <w:rsid w:val="00A022E7"/>
    <w:rsid w:val="00A026DF"/>
    <w:rsid w:val="00A0298D"/>
    <w:rsid w:val="00A02E04"/>
    <w:rsid w:val="00A03583"/>
    <w:rsid w:val="00A03A5F"/>
    <w:rsid w:val="00A04100"/>
    <w:rsid w:val="00A04162"/>
    <w:rsid w:val="00A044CF"/>
    <w:rsid w:val="00A0473D"/>
    <w:rsid w:val="00A04868"/>
    <w:rsid w:val="00A0489D"/>
    <w:rsid w:val="00A04C2F"/>
    <w:rsid w:val="00A04E73"/>
    <w:rsid w:val="00A04FAD"/>
    <w:rsid w:val="00A05122"/>
    <w:rsid w:val="00A05280"/>
    <w:rsid w:val="00A0545E"/>
    <w:rsid w:val="00A05911"/>
    <w:rsid w:val="00A05C58"/>
    <w:rsid w:val="00A06382"/>
    <w:rsid w:val="00A066DE"/>
    <w:rsid w:val="00A068B1"/>
    <w:rsid w:val="00A06DD6"/>
    <w:rsid w:val="00A075C8"/>
    <w:rsid w:val="00A0790B"/>
    <w:rsid w:val="00A07A14"/>
    <w:rsid w:val="00A07C7A"/>
    <w:rsid w:val="00A07ED2"/>
    <w:rsid w:val="00A101C4"/>
    <w:rsid w:val="00A10286"/>
    <w:rsid w:val="00A1035E"/>
    <w:rsid w:val="00A106FA"/>
    <w:rsid w:val="00A10B65"/>
    <w:rsid w:val="00A10EF9"/>
    <w:rsid w:val="00A1104D"/>
    <w:rsid w:val="00A11103"/>
    <w:rsid w:val="00A11A35"/>
    <w:rsid w:val="00A11A67"/>
    <w:rsid w:val="00A11EA2"/>
    <w:rsid w:val="00A11F9E"/>
    <w:rsid w:val="00A12661"/>
    <w:rsid w:val="00A12861"/>
    <w:rsid w:val="00A1294D"/>
    <w:rsid w:val="00A12B68"/>
    <w:rsid w:val="00A12BC1"/>
    <w:rsid w:val="00A12C21"/>
    <w:rsid w:val="00A12CD7"/>
    <w:rsid w:val="00A13381"/>
    <w:rsid w:val="00A1356D"/>
    <w:rsid w:val="00A13749"/>
    <w:rsid w:val="00A13773"/>
    <w:rsid w:val="00A13D1C"/>
    <w:rsid w:val="00A14072"/>
    <w:rsid w:val="00A141E5"/>
    <w:rsid w:val="00A142EB"/>
    <w:rsid w:val="00A145EE"/>
    <w:rsid w:val="00A14723"/>
    <w:rsid w:val="00A14734"/>
    <w:rsid w:val="00A14A9A"/>
    <w:rsid w:val="00A14D11"/>
    <w:rsid w:val="00A14F1A"/>
    <w:rsid w:val="00A150E7"/>
    <w:rsid w:val="00A151DC"/>
    <w:rsid w:val="00A152B2"/>
    <w:rsid w:val="00A153C4"/>
    <w:rsid w:val="00A15581"/>
    <w:rsid w:val="00A15628"/>
    <w:rsid w:val="00A15830"/>
    <w:rsid w:val="00A15861"/>
    <w:rsid w:val="00A1593F"/>
    <w:rsid w:val="00A15B57"/>
    <w:rsid w:val="00A15BBD"/>
    <w:rsid w:val="00A16A72"/>
    <w:rsid w:val="00A16BE4"/>
    <w:rsid w:val="00A16E5B"/>
    <w:rsid w:val="00A16F52"/>
    <w:rsid w:val="00A175C7"/>
    <w:rsid w:val="00A177F7"/>
    <w:rsid w:val="00A178CB"/>
    <w:rsid w:val="00A178E4"/>
    <w:rsid w:val="00A17AA9"/>
    <w:rsid w:val="00A2024E"/>
    <w:rsid w:val="00A202A6"/>
    <w:rsid w:val="00A20742"/>
    <w:rsid w:val="00A20AC3"/>
    <w:rsid w:val="00A212AF"/>
    <w:rsid w:val="00A2134A"/>
    <w:rsid w:val="00A21994"/>
    <w:rsid w:val="00A21A12"/>
    <w:rsid w:val="00A21BE8"/>
    <w:rsid w:val="00A21F62"/>
    <w:rsid w:val="00A21F92"/>
    <w:rsid w:val="00A2245B"/>
    <w:rsid w:val="00A2246B"/>
    <w:rsid w:val="00A2274F"/>
    <w:rsid w:val="00A22BEC"/>
    <w:rsid w:val="00A23091"/>
    <w:rsid w:val="00A231DD"/>
    <w:rsid w:val="00A23C96"/>
    <w:rsid w:val="00A23F2A"/>
    <w:rsid w:val="00A24103"/>
    <w:rsid w:val="00A245E1"/>
    <w:rsid w:val="00A248C3"/>
    <w:rsid w:val="00A24ACB"/>
    <w:rsid w:val="00A24E68"/>
    <w:rsid w:val="00A25198"/>
    <w:rsid w:val="00A2536F"/>
    <w:rsid w:val="00A2537E"/>
    <w:rsid w:val="00A253B1"/>
    <w:rsid w:val="00A25508"/>
    <w:rsid w:val="00A25510"/>
    <w:rsid w:val="00A25836"/>
    <w:rsid w:val="00A25BAD"/>
    <w:rsid w:val="00A25C82"/>
    <w:rsid w:val="00A26026"/>
    <w:rsid w:val="00A26279"/>
    <w:rsid w:val="00A263F4"/>
    <w:rsid w:val="00A2670D"/>
    <w:rsid w:val="00A26AF6"/>
    <w:rsid w:val="00A26B52"/>
    <w:rsid w:val="00A26B9A"/>
    <w:rsid w:val="00A26E1B"/>
    <w:rsid w:val="00A26E84"/>
    <w:rsid w:val="00A270B8"/>
    <w:rsid w:val="00A271E1"/>
    <w:rsid w:val="00A27231"/>
    <w:rsid w:val="00A272A9"/>
    <w:rsid w:val="00A273AB"/>
    <w:rsid w:val="00A27A6B"/>
    <w:rsid w:val="00A27E53"/>
    <w:rsid w:val="00A27F70"/>
    <w:rsid w:val="00A3069B"/>
    <w:rsid w:val="00A30990"/>
    <w:rsid w:val="00A30AF9"/>
    <w:rsid w:val="00A30DB3"/>
    <w:rsid w:val="00A312D7"/>
    <w:rsid w:val="00A31304"/>
    <w:rsid w:val="00A31585"/>
    <w:rsid w:val="00A31743"/>
    <w:rsid w:val="00A31E1F"/>
    <w:rsid w:val="00A31E3E"/>
    <w:rsid w:val="00A31F28"/>
    <w:rsid w:val="00A326FF"/>
    <w:rsid w:val="00A32887"/>
    <w:rsid w:val="00A32A64"/>
    <w:rsid w:val="00A32BE1"/>
    <w:rsid w:val="00A331B4"/>
    <w:rsid w:val="00A3350C"/>
    <w:rsid w:val="00A335D7"/>
    <w:rsid w:val="00A33B4A"/>
    <w:rsid w:val="00A33D08"/>
    <w:rsid w:val="00A33DDE"/>
    <w:rsid w:val="00A34361"/>
    <w:rsid w:val="00A34409"/>
    <w:rsid w:val="00A344A6"/>
    <w:rsid w:val="00A347F1"/>
    <w:rsid w:val="00A349C1"/>
    <w:rsid w:val="00A34BAD"/>
    <w:rsid w:val="00A34C46"/>
    <w:rsid w:val="00A351F2"/>
    <w:rsid w:val="00A357A6"/>
    <w:rsid w:val="00A35827"/>
    <w:rsid w:val="00A35B77"/>
    <w:rsid w:val="00A35CD7"/>
    <w:rsid w:val="00A35D0A"/>
    <w:rsid w:val="00A36681"/>
    <w:rsid w:val="00A367B2"/>
    <w:rsid w:val="00A3687A"/>
    <w:rsid w:val="00A368AA"/>
    <w:rsid w:val="00A3690F"/>
    <w:rsid w:val="00A36BC0"/>
    <w:rsid w:val="00A36D5B"/>
    <w:rsid w:val="00A3700D"/>
    <w:rsid w:val="00A37802"/>
    <w:rsid w:val="00A37BE2"/>
    <w:rsid w:val="00A400E3"/>
    <w:rsid w:val="00A40231"/>
    <w:rsid w:val="00A403E9"/>
    <w:rsid w:val="00A406DC"/>
    <w:rsid w:val="00A408F8"/>
    <w:rsid w:val="00A40B55"/>
    <w:rsid w:val="00A40EDD"/>
    <w:rsid w:val="00A41119"/>
    <w:rsid w:val="00A415AE"/>
    <w:rsid w:val="00A41600"/>
    <w:rsid w:val="00A417BE"/>
    <w:rsid w:val="00A41898"/>
    <w:rsid w:val="00A418FC"/>
    <w:rsid w:val="00A41959"/>
    <w:rsid w:val="00A41980"/>
    <w:rsid w:val="00A41C35"/>
    <w:rsid w:val="00A41C79"/>
    <w:rsid w:val="00A41D4E"/>
    <w:rsid w:val="00A41DE9"/>
    <w:rsid w:val="00A423EE"/>
    <w:rsid w:val="00A42572"/>
    <w:rsid w:val="00A42587"/>
    <w:rsid w:val="00A42617"/>
    <w:rsid w:val="00A42B92"/>
    <w:rsid w:val="00A43418"/>
    <w:rsid w:val="00A4347E"/>
    <w:rsid w:val="00A4381E"/>
    <w:rsid w:val="00A4398B"/>
    <w:rsid w:val="00A43A00"/>
    <w:rsid w:val="00A43A10"/>
    <w:rsid w:val="00A43B83"/>
    <w:rsid w:val="00A444F8"/>
    <w:rsid w:val="00A44587"/>
    <w:rsid w:val="00A4478B"/>
    <w:rsid w:val="00A447A9"/>
    <w:rsid w:val="00A44D29"/>
    <w:rsid w:val="00A44EAF"/>
    <w:rsid w:val="00A44EB0"/>
    <w:rsid w:val="00A450AC"/>
    <w:rsid w:val="00A451F3"/>
    <w:rsid w:val="00A453DA"/>
    <w:rsid w:val="00A45611"/>
    <w:rsid w:val="00A45B66"/>
    <w:rsid w:val="00A45D3C"/>
    <w:rsid w:val="00A45F35"/>
    <w:rsid w:val="00A45F55"/>
    <w:rsid w:val="00A46292"/>
    <w:rsid w:val="00A4630E"/>
    <w:rsid w:val="00A465F8"/>
    <w:rsid w:val="00A46B16"/>
    <w:rsid w:val="00A47363"/>
    <w:rsid w:val="00A476C8"/>
    <w:rsid w:val="00A47DE3"/>
    <w:rsid w:val="00A504C9"/>
    <w:rsid w:val="00A504FA"/>
    <w:rsid w:val="00A50538"/>
    <w:rsid w:val="00A5056E"/>
    <w:rsid w:val="00A507B5"/>
    <w:rsid w:val="00A50949"/>
    <w:rsid w:val="00A50EA7"/>
    <w:rsid w:val="00A5145F"/>
    <w:rsid w:val="00A514B1"/>
    <w:rsid w:val="00A51AFA"/>
    <w:rsid w:val="00A5227A"/>
    <w:rsid w:val="00A5259C"/>
    <w:rsid w:val="00A526B3"/>
    <w:rsid w:val="00A528E2"/>
    <w:rsid w:val="00A52923"/>
    <w:rsid w:val="00A52A99"/>
    <w:rsid w:val="00A52B1C"/>
    <w:rsid w:val="00A52E0B"/>
    <w:rsid w:val="00A5338A"/>
    <w:rsid w:val="00A533F8"/>
    <w:rsid w:val="00A535C1"/>
    <w:rsid w:val="00A5362A"/>
    <w:rsid w:val="00A5376D"/>
    <w:rsid w:val="00A54305"/>
    <w:rsid w:val="00A545AD"/>
    <w:rsid w:val="00A54757"/>
    <w:rsid w:val="00A54D72"/>
    <w:rsid w:val="00A55181"/>
    <w:rsid w:val="00A55332"/>
    <w:rsid w:val="00A55437"/>
    <w:rsid w:val="00A5554F"/>
    <w:rsid w:val="00A555CF"/>
    <w:rsid w:val="00A558EE"/>
    <w:rsid w:val="00A55A52"/>
    <w:rsid w:val="00A55AB1"/>
    <w:rsid w:val="00A55CFC"/>
    <w:rsid w:val="00A55D71"/>
    <w:rsid w:val="00A55DE0"/>
    <w:rsid w:val="00A5643A"/>
    <w:rsid w:val="00A564FC"/>
    <w:rsid w:val="00A56635"/>
    <w:rsid w:val="00A567FF"/>
    <w:rsid w:val="00A568B5"/>
    <w:rsid w:val="00A56CCE"/>
    <w:rsid w:val="00A572C7"/>
    <w:rsid w:val="00A57BEE"/>
    <w:rsid w:val="00A57D42"/>
    <w:rsid w:val="00A57EA5"/>
    <w:rsid w:val="00A57F5E"/>
    <w:rsid w:val="00A57FE6"/>
    <w:rsid w:val="00A57FFB"/>
    <w:rsid w:val="00A60468"/>
    <w:rsid w:val="00A60579"/>
    <w:rsid w:val="00A60BBB"/>
    <w:rsid w:val="00A60C83"/>
    <w:rsid w:val="00A60D29"/>
    <w:rsid w:val="00A60EEF"/>
    <w:rsid w:val="00A612E6"/>
    <w:rsid w:val="00A613C5"/>
    <w:rsid w:val="00A61543"/>
    <w:rsid w:val="00A61565"/>
    <w:rsid w:val="00A618CC"/>
    <w:rsid w:val="00A619BE"/>
    <w:rsid w:val="00A61A70"/>
    <w:rsid w:val="00A61CB6"/>
    <w:rsid w:val="00A62019"/>
    <w:rsid w:val="00A62165"/>
    <w:rsid w:val="00A62401"/>
    <w:rsid w:val="00A62472"/>
    <w:rsid w:val="00A637EA"/>
    <w:rsid w:val="00A63A99"/>
    <w:rsid w:val="00A63BE2"/>
    <w:rsid w:val="00A63EFC"/>
    <w:rsid w:val="00A64276"/>
    <w:rsid w:val="00A642C8"/>
    <w:rsid w:val="00A643FD"/>
    <w:rsid w:val="00A6443B"/>
    <w:rsid w:val="00A644B9"/>
    <w:rsid w:val="00A6465C"/>
    <w:rsid w:val="00A64738"/>
    <w:rsid w:val="00A648B5"/>
    <w:rsid w:val="00A64D52"/>
    <w:rsid w:val="00A64D67"/>
    <w:rsid w:val="00A65082"/>
    <w:rsid w:val="00A651AC"/>
    <w:rsid w:val="00A6557E"/>
    <w:rsid w:val="00A6584E"/>
    <w:rsid w:val="00A659AC"/>
    <w:rsid w:val="00A65F1E"/>
    <w:rsid w:val="00A65F52"/>
    <w:rsid w:val="00A660EB"/>
    <w:rsid w:val="00A661AD"/>
    <w:rsid w:val="00A6623D"/>
    <w:rsid w:val="00A6642E"/>
    <w:rsid w:val="00A66C96"/>
    <w:rsid w:val="00A672FF"/>
    <w:rsid w:val="00A6771F"/>
    <w:rsid w:val="00A6783D"/>
    <w:rsid w:val="00A6786B"/>
    <w:rsid w:val="00A67B94"/>
    <w:rsid w:val="00A70377"/>
    <w:rsid w:val="00A7041D"/>
    <w:rsid w:val="00A70457"/>
    <w:rsid w:val="00A70739"/>
    <w:rsid w:val="00A7074C"/>
    <w:rsid w:val="00A70B70"/>
    <w:rsid w:val="00A70BAE"/>
    <w:rsid w:val="00A70CC1"/>
    <w:rsid w:val="00A7120F"/>
    <w:rsid w:val="00A71446"/>
    <w:rsid w:val="00A714ED"/>
    <w:rsid w:val="00A715D8"/>
    <w:rsid w:val="00A716A5"/>
    <w:rsid w:val="00A71731"/>
    <w:rsid w:val="00A718ED"/>
    <w:rsid w:val="00A7196B"/>
    <w:rsid w:val="00A720A8"/>
    <w:rsid w:val="00A722AF"/>
    <w:rsid w:val="00A723A9"/>
    <w:rsid w:val="00A72587"/>
    <w:rsid w:val="00A725DB"/>
    <w:rsid w:val="00A72804"/>
    <w:rsid w:val="00A7288A"/>
    <w:rsid w:val="00A72BB3"/>
    <w:rsid w:val="00A72CBC"/>
    <w:rsid w:val="00A730AE"/>
    <w:rsid w:val="00A7313B"/>
    <w:rsid w:val="00A732F7"/>
    <w:rsid w:val="00A733D8"/>
    <w:rsid w:val="00A73486"/>
    <w:rsid w:val="00A734C4"/>
    <w:rsid w:val="00A73539"/>
    <w:rsid w:val="00A737F8"/>
    <w:rsid w:val="00A738A4"/>
    <w:rsid w:val="00A739AD"/>
    <w:rsid w:val="00A73A20"/>
    <w:rsid w:val="00A73A2D"/>
    <w:rsid w:val="00A73DCC"/>
    <w:rsid w:val="00A73FEA"/>
    <w:rsid w:val="00A746D1"/>
    <w:rsid w:val="00A746D6"/>
    <w:rsid w:val="00A748FB"/>
    <w:rsid w:val="00A75111"/>
    <w:rsid w:val="00A7550A"/>
    <w:rsid w:val="00A7578A"/>
    <w:rsid w:val="00A7590F"/>
    <w:rsid w:val="00A75923"/>
    <w:rsid w:val="00A759E2"/>
    <w:rsid w:val="00A75A7D"/>
    <w:rsid w:val="00A75E2F"/>
    <w:rsid w:val="00A7768D"/>
    <w:rsid w:val="00A77B3B"/>
    <w:rsid w:val="00A77B7C"/>
    <w:rsid w:val="00A77EC5"/>
    <w:rsid w:val="00A80500"/>
    <w:rsid w:val="00A808D9"/>
    <w:rsid w:val="00A80964"/>
    <w:rsid w:val="00A80CB9"/>
    <w:rsid w:val="00A80DC8"/>
    <w:rsid w:val="00A80FEC"/>
    <w:rsid w:val="00A810EB"/>
    <w:rsid w:val="00A8147D"/>
    <w:rsid w:val="00A81F18"/>
    <w:rsid w:val="00A8240F"/>
    <w:rsid w:val="00A8247A"/>
    <w:rsid w:val="00A82AEF"/>
    <w:rsid w:val="00A82B37"/>
    <w:rsid w:val="00A82CC6"/>
    <w:rsid w:val="00A82F54"/>
    <w:rsid w:val="00A82F84"/>
    <w:rsid w:val="00A83111"/>
    <w:rsid w:val="00A8348C"/>
    <w:rsid w:val="00A836B9"/>
    <w:rsid w:val="00A83909"/>
    <w:rsid w:val="00A83CCD"/>
    <w:rsid w:val="00A84047"/>
    <w:rsid w:val="00A840D3"/>
    <w:rsid w:val="00A840DB"/>
    <w:rsid w:val="00A848A2"/>
    <w:rsid w:val="00A848A5"/>
    <w:rsid w:val="00A855AA"/>
    <w:rsid w:val="00A8581E"/>
    <w:rsid w:val="00A8595A"/>
    <w:rsid w:val="00A85982"/>
    <w:rsid w:val="00A85B90"/>
    <w:rsid w:val="00A85BE5"/>
    <w:rsid w:val="00A860BD"/>
    <w:rsid w:val="00A86145"/>
    <w:rsid w:val="00A861FC"/>
    <w:rsid w:val="00A8672C"/>
    <w:rsid w:val="00A868D4"/>
    <w:rsid w:val="00A86996"/>
    <w:rsid w:val="00A869D3"/>
    <w:rsid w:val="00A86FEF"/>
    <w:rsid w:val="00A8760E"/>
    <w:rsid w:val="00A8780E"/>
    <w:rsid w:val="00A87873"/>
    <w:rsid w:val="00A87C00"/>
    <w:rsid w:val="00A87F49"/>
    <w:rsid w:val="00A87FF9"/>
    <w:rsid w:val="00A90102"/>
    <w:rsid w:val="00A90123"/>
    <w:rsid w:val="00A90398"/>
    <w:rsid w:val="00A90493"/>
    <w:rsid w:val="00A9055C"/>
    <w:rsid w:val="00A90757"/>
    <w:rsid w:val="00A908D5"/>
    <w:rsid w:val="00A90AAC"/>
    <w:rsid w:val="00A90BCA"/>
    <w:rsid w:val="00A910CC"/>
    <w:rsid w:val="00A9134B"/>
    <w:rsid w:val="00A913A9"/>
    <w:rsid w:val="00A918F8"/>
    <w:rsid w:val="00A92462"/>
    <w:rsid w:val="00A9268E"/>
    <w:rsid w:val="00A9299D"/>
    <w:rsid w:val="00A92B16"/>
    <w:rsid w:val="00A92C00"/>
    <w:rsid w:val="00A92E65"/>
    <w:rsid w:val="00A9304F"/>
    <w:rsid w:val="00A934C1"/>
    <w:rsid w:val="00A935C3"/>
    <w:rsid w:val="00A936BF"/>
    <w:rsid w:val="00A9380A"/>
    <w:rsid w:val="00A93A10"/>
    <w:rsid w:val="00A93A2D"/>
    <w:rsid w:val="00A93A3B"/>
    <w:rsid w:val="00A93D86"/>
    <w:rsid w:val="00A93E48"/>
    <w:rsid w:val="00A93E77"/>
    <w:rsid w:val="00A93F31"/>
    <w:rsid w:val="00A942EA"/>
    <w:rsid w:val="00A9469A"/>
    <w:rsid w:val="00A94956"/>
    <w:rsid w:val="00A94D7E"/>
    <w:rsid w:val="00A94F01"/>
    <w:rsid w:val="00A95310"/>
    <w:rsid w:val="00A9554B"/>
    <w:rsid w:val="00A95699"/>
    <w:rsid w:val="00A95B4C"/>
    <w:rsid w:val="00A95FF8"/>
    <w:rsid w:val="00A9634F"/>
    <w:rsid w:val="00A963D8"/>
    <w:rsid w:val="00A96746"/>
    <w:rsid w:val="00A96B0B"/>
    <w:rsid w:val="00A96F71"/>
    <w:rsid w:val="00A972FF"/>
    <w:rsid w:val="00A973B4"/>
    <w:rsid w:val="00A97A35"/>
    <w:rsid w:val="00A97B71"/>
    <w:rsid w:val="00AA0064"/>
    <w:rsid w:val="00AA0307"/>
    <w:rsid w:val="00AA0948"/>
    <w:rsid w:val="00AA0994"/>
    <w:rsid w:val="00AA09BB"/>
    <w:rsid w:val="00AA0A16"/>
    <w:rsid w:val="00AA10C3"/>
    <w:rsid w:val="00AA1138"/>
    <w:rsid w:val="00AA1184"/>
    <w:rsid w:val="00AA144F"/>
    <w:rsid w:val="00AA1762"/>
    <w:rsid w:val="00AA18D5"/>
    <w:rsid w:val="00AA2056"/>
    <w:rsid w:val="00AA22ED"/>
    <w:rsid w:val="00AA22FC"/>
    <w:rsid w:val="00AA24A5"/>
    <w:rsid w:val="00AA2ADE"/>
    <w:rsid w:val="00AA2D23"/>
    <w:rsid w:val="00AA2EE0"/>
    <w:rsid w:val="00AA3175"/>
    <w:rsid w:val="00AA35FD"/>
    <w:rsid w:val="00AA36AD"/>
    <w:rsid w:val="00AA36F2"/>
    <w:rsid w:val="00AA38C1"/>
    <w:rsid w:val="00AA399C"/>
    <w:rsid w:val="00AA3F01"/>
    <w:rsid w:val="00AA3F9A"/>
    <w:rsid w:val="00AA401F"/>
    <w:rsid w:val="00AA454E"/>
    <w:rsid w:val="00AA47DE"/>
    <w:rsid w:val="00AA49AC"/>
    <w:rsid w:val="00AA4AFD"/>
    <w:rsid w:val="00AA4B23"/>
    <w:rsid w:val="00AA4D9A"/>
    <w:rsid w:val="00AA4DB5"/>
    <w:rsid w:val="00AA4FC2"/>
    <w:rsid w:val="00AA5167"/>
    <w:rsid w:val="00AA51AC"/>
    <w:rsid w:val="00AA5267"/>
    <w:rsid w:val="00AA535D"/>
    <w:rsid w:val="00AA53D6"/>
    <w:rsid w:val="00AA54EE"/>
    <w:rsid w:val="00AA578A"/>
    <w:rsid w:val="00AA58D9"/>
    <w:rsid w:val="00AA5C7C"/>
    <w:rsid w:val="00AA5F4B"/>
    <w:rsid w:val="00AA6188"/>
    <w:rsid w:val="00AA62B7"/>
    <w:rsid w:val="00AA62C4"/>
    <w:rsid w:val="00AA652A"/>
    <w:rsid w:val="00AA65A6"/>
    <w:rsid w:val="00AA685B"/>
    <w:rsid w:val="00AA68D0"/>
    <w:rsid w:val="00AA6B66"/>
    <w:rsid w:val="00AA6CFA"/>
    <w:rsid w:val="00AA6DA5"/>
    <w:rsid w:val="00AA6ECB"/>
    <w:rsid w:val="00AA6F25"/>
    <w:rsid w:val="00AA6F6F"/>
    <w:rsid w:val="00AA7631"/>
    <w:rsid w:val="00AA7720"/>
    <w:rsid w:val="00AA773F"/>
    <w:rsid w:val="00AA7740"/>
    <w:rsid w:val="00AA77EE"/>
    <w:rsid w:val="00AA79BD"/>
    <w:rsid w:val="00AA7EFF"/>
    <w:rsid w:val="00AA7F7F"/>
    <w:rsid w:val="00AB0094"/>
    <w:rsid w:val="00AB0232"/>
    <w:rsid w:val="00AB0395"/>
    <w:rsid w:val="00AB0606"/>
    <w:rsid w:val="00AB0683"/>
    <w:rsid w:val="00AB07C1"/>
    <w:rsid w:val="00AB089F"/>
    <w:rsid w:val="00AB0A30"/>
    <w:rsid w:val="00AB0EBF"/>
    <w:rsid w:val="00AB10AE"/>
    <w:rsid w:val="00AB1337"/>
    <w:rsid w:val="00AB1527"/>
    <w:rsid w:val="00AB179B"/>
    <w:rsid w:val="00AB197C"/>
    <w:rsid w:val="00AB199E"/>
    <w:rsid w:val="00AB1A5A"/>
    <w:rsid w:val="00AB1BB0"/>
    <w:rsid w:val="00AB1EB0"/>
    <w:rsid w:val="00AB203C"/>
    <w:rsid w:val="00AB217E"/>
    <w:rsid w:val="00AB237A"/>
    <w:rsid w:val="00AB28D3"/>
    <w:rsid w:val="00AB2BF6"/>
    <w:rsid w:val="00AB2DA9"/>
    <w:rsid w:val="00AB2E70"/>
    <w:rsid w:val="00AB34A6"/>
    <w:rsid w:val="00AB38FC"/>
    <w:rsid w:val="00AB39BC"/>
    <w:rsid w:val="00AB479A"/>
    <w:rsid w:val="00AB4980"/>
    <w:rsid w:val="00AB4A1D"/>
    <w:rsid w:val="00AB4E1A"/>
    <w:rsid w:val="00AB5052"/>
    <w:rsid w:val="00AB53E5"/>
    <w:rsid w:val="00AB5560"/>
    <w:rsid w:val="00AB5737"/>
    <w:rsid w:val="00AB59A9"/>
    <w:rsid w:val="00AB5B19"/>
    <w:rsid w:val="00AB5B6F"/>
    <w:rsid w:val="00AB5C88"/>
    <w:rsid w:val="00AB5F73"/>
    <w:rsid w:val="00AB613A"/>
    <w:rsid w:val="00AB6146"/>
    <w:rsid w:val="00AB65DD"/>
    <w:rsid w:val="00AB695C"/>
    <w:rsid w:val="00AB6CDC"/>
    <w:rsid w:val="00AB6D6A"/>
    <w:rsid w:val="00AB6E60"/>
    <w:rsid w:val="00AB6F83"/>
    <w:rsid w:val="00AB721D"/>
    <w:rsid w:val="00AB7388"/>
    <w:rsid w:val="00AB7801"/>
    <w:rsid w:val="00AB7AB8"/>
    <w:rsid w:val="00AB7C25"/>
    <w:rsid w:val="00AB7C77"/>
    <w:rsid w:val="00AC0887"/>
    <w:rsid w:val="00AC0B46"/>
    <w:rsid w:val="00AC0BB5"/>
    <w:rsid w:val="00AC155C"/>
    <w:rsid w:val="00AC17BC"/>
    <w:rsid w:val="00AC18A3"/>
    <w:rsid w:val="00AC1BCA"/>
    <w:rsid w:val="00AC1C51"/>
    <w:rsid w:val="00AC1D6E"/>
    <w:rsid w:val="00AC1F1A"/>
    <w:rsid w:val="00AC2304"/>
    <w:rsid w:val="00AC248F"/>
    <w:rsid w:val="00AC262A"/>
    <w:rsid w:val="00AC269C"/>
    <w:rsid w:val="00AC2C56"/>
    <w:rsid w:val="00AC2C64"/>
    <w:rsid w:val="00AC2E63"/>
    <w:rsid w:val="00AC2F1A"/>
    <w:rsid w:val="00AC31D7"/>
    <w:rsid w:val="00AC3334"/>
    <w:rsid w:val="00AC34B1"/>
    <w:rsid w:val="00AC385A"/>
    <w:rsid w:val="00AC3978"/>
    <w:rsid w:val="00AC3DCC"/>
    <w:rsid w:val="00AC4094"/>
    <w:rsid w:val="00AC458A"/>
    <w:rsid w:val="00AC4DD2"/>
    <w:rsid w:val="00AC5440"/>
    <w:rsid w:val="00AC56CB"/>
    <w:rsid w:val="00AC582D"/>
    <w:rsid w:val="00AC58FC"/>
    <w:rsid w:val="00AC5A22"/>
    <w:rsid w:val="00AC5BF1"/>
    <w:rsid w:val="00AC5F14"/>
    <w:rsid w:val="00AC6186"/>
    <w:rsid w:val="00AC6432"/>
    <w:rsid w:val="00AC64C2"/>
    <w:rsid w:val="00AC65E5"/>
    <w:rsid w:val="00AC6C29"/>
    <w:rsid w:val="00AC6CA4"/>
    <w:rsid w:val="00AC6DC4"/>
    <w:rsid w:val="00AC6EAB"/>
    <w:rsid w:val="00AC77EC"/>
    <w:rsid w:val="00AC7C79"/>
    <w:rsid w:val="00AC7CB5"/>
    <w:rsid w:val="00AC7D76"/>
    <w:rsid w:val="00AD00E1"/>
    <w:rsid w:val="00AD01A2"/>
    <w:rsid w:val="00AD031A"/>
    <w:rsid w:val="00AD031C"/>
    <w:rsid w:val="00AD068A"/>
    <w:rsid w:val="00AD0716"/>
    <w:rsid w:val="00AD0CD1"/>
    <w:rsid w:val="00AD0E22"/>
    <w:rsid w:val="00AD0EDE"/>
    <w:rsid w:val="00AD0EF7"/>
    <w:rsid w:val="00AD1133"/>
    <w:rsid w:val="00AD1401"/>
    <w:rsid w:val="00AD1825"/>
    <w:rsid w:val="00AD18D1"/>
    <w:rsid w:val="00AD1B73"/>
    <w:rsid w:val="00AD1D8A"/>
    <w:rsid w:val="00AD202A"/>
    <w:rsid w:val="00AD203E"/>
    <w:rsid w:val="00AD2064"/>
    <w:rsid w:val="00AD25BB"/>
    <w:rsid w:val="00AD2678"/>
    <w:rsid w:val="00AD2A9A"/>
    <w:rsid w:val="00AD2C2B"/>
    <w:rsid w:val="00AD39E9"/>
    <w:rsid w:val="00AD3BBD"/>
    <w:rsid w:val="00AD3D79"/>
    <w:rsid w:val="00AD3EC6"/>
    <w:rsid w:val="00AD42AD"/>
    <w:rsid w:val="00AD42B8"/>
    <w:rsid w:val="00AD48BE"/>
    <w:rsid w:val="00AD48FE"/>
    <w:rsid w:val="00AD4BB2"/>
    <w:rsid w:val="00AD4F94"/>
    <w:rsid w:val="00AD5238"/>
    <w:rsid w:val="00AD5367"/>
    <w:rsid w:val="00AD5487"/>
    <w:rsid w:val="00AD5B2E"/>
    <w:rsid w:val="00AD5DAE"/>
    <w:rsid w:val="00AD5E69"/>
    <w:rsid w:val="00AD6102"/>
    <w:rsid w:val="00AD61FA"/>
    <w:rsid w:val="00AD646E"/>
    <w:rsid w:val="00AD67FD"/>
    <w:rsid w:val="00AD69C0"/>
    <w:rsid w:val="00AD70C2"/>
    <w:rsid w:val="00AD74C0"/>
    <w:rsid w:val="00AD7505"/>
    <w:rsid w:val="00AD7AA1"/>
    <w:rsid w:val="00AD7DE0"/>
    <w:rsid w:val="00AE0432"/>
    <w:rsid w:val="00AE0A6B"/>
    <w:rsid w:val="00AE0B34"/>
    <w:rsid w:val="00AE0D27"/>
    <w:rsid w:val="00AE0F16"/>
    <w:rsid w:val="00AE0F63"/>
    <w:rsid w:val="00AE1051"/>
    <w:rsid w:val="00AE1550"/>
    <w:rsid w:val="00AE16CB"/>
    <w:rsid w:val="00AE16EC"/>
    <w:rsid w:val="00AE17FF"/>
    <w:rsid w:val="00AE1D2B"/>
    <w:rsid w:val="00AE1FFD"/>
    <w:rsid w:val="00AE2067"/>
    <w:rsid w:val="00AE2775"/>
    <w:rsid w:val="00AE2876"/>
    <w:rsid w:val="00AE28CC"/>
    <w:rsid w:val="00AE2AD4"/>
    <w:rsid w:val="00AE2FD7"/>
    <w:rsid w:val="00AE3282"/>
    <w:rsid w:val="00AE3677"/>
    <w:rsid w:val="00AE3DE7"/>
    <w:rsid w:val="00AE405C"/>
    <w:rsid w:val="00AE4372"/>
    <w:rsid w:val="00AE4409"/>
    <w:rsid w:val="00AE4DE2"/>
    <w:rsid w:val="00AE4E84"/>
    <w:rsid w:val="00AE5395"/>
    <w:rsid w:val="00AE542B"/>
    <w:rsid w:val="00AE5A65"/>
    <w:rsid w:val="00AE5E61"/>
    <w:rsid w:val="00AE5ECB"/>
    <w:rsid w:val="00AE6025"/>
    <w:rsid w:val="00AE6571"/>
    <w:rsid w:val="00AE6BC2"/>
    <w:rsid w:val="00AE6D83"/>
    <w:rsid w:val="00AE7088"/>
    <w:rsid w:val="00AE736E"/>
    <w:rsid w:val="00AE7B86"/>
    <w:rsid w:val="00AE7BDF"/>
    <w:rsid w:val="00AF0190"/>
    <w:rsid w:val="00AF01A6"/>
    <w:rsid w:val="00AF0502"/>
    <w:rsid w:val="00AF0604"/>
    <w:rsid w:val="00AF063E"/>
    <w:rsid w:val="00AF08D3"/>
    <w:rsid w:val="00AF0935"/>
    <w:rsid w:val="00AF119F"/>
    <w:rsid w:val="00AF1256"/>
    <w:rsid w:val="00AF1416"/>
    <w:rsid w:val="00AF151B"/>
    <w:rsid w:val="00AF16E8"/>
    <w:rsid w:val="00AF1A2D"/>
    <w:rsid w:val="00AF2047"/>
    <w:rsid w:val="00AF20A5"/>
    <w:rsid w:val="00AF215A"/>
    <w:rsid w:val="00AF2247"/>
    <w:rsid w:val="00AF2305"/>
    <w:rsid w:val="00AF2399"/>
    <w:rsid w:val="00AF2491"/>
    <w:rsid w:val="00AF24FC"/>
    <w:rsid w:val="00AF2623"/>
    <w:rsid w:val="00AF2778"/>
    <w:rsid w:val="00AF2958"/>
    <w:rsid w:val="00AF2A93"/>
    <w:rsid w:val="00AF2D14"/>
    <w:rsid w:val="00AF2DAB"/>
    <w:rsid w:val="00AF31E2"/>
    <w:rsid w:val="00AF3351"/>
    <w:rsid w:val="00AF3882"/>
    <w:rsid w:val="00AF391F"/>
    <w:rsid w:val="00AF3B0A"/>
    <w:rsid w:val="00AF41C0"/>
    <w:rsid w:val="00AF41DA"/>
    <w:rsid w:val="00AF429A"/>
    <w:rsid w:val="00AF42E3"/>
    <w:rsid w:val="00AF46AA"/>
    <w:rsid w:val="00AF4881"/>
    <w:rsid w:val="00AF491D"/>
    <w:rsid w:val="00AF49D3"/>
    <w:rsid w:val="00AF4AF0"/>
    <w:rsid w:val="00AF4B93"/>
    <w:rsid w:val="00AF4DEC"/>
    <w:rsid w:val="00AF5324"/>
    <w:rsid w:val="00AF58F6"/>
    <w:rsid w:val="00AF59E8"/>
    <w:rsid w:val="00AF5BF7"/>
    <w:rsid w:val="00AF5CB5"/>
    <w:rsid w:val="00AF5D98"/>
    <w:rsid w:val="00AF5EDE"/>
    <w:rsid w:val="00AF60D7"/>
    <w:rsid w:val="00AF6546"/>
    <w:rsid w:val="00AF6FCA"/>
    <w:rsid w:val="00AF715C"/>
    <w:rsid w:val="00AF7307"/>
    <w:rsid w:val="00AF7320"/>
    <w:rsid w:val="00AF75B3"/>
    <w:rsid w:val="00AF7799"/>
    <w:rsid w:val="00AF79B6"/>
    <w:rsid w:val="00AF7B89"/>
    <w:rsid w:val="00AF7DBE"/>
    <w:rsid w:val="00B00266"/>
    <w:rsid w:val="00B00445"/>
    <w:rsid w:val="00B00463"/>
    <w:rsid w:val="00B0069C"/>
    <w:rsid w:val="00B00814"/>
    <w:rsid w:val="00B01612"/>
    <w:rsid w:val="00B01817"/>
    <w:rsid w:val="00B01A2C"/>
    <w:rsid w:val="00B01FFE"/>
    <w:rsid w:val="00B0213D"/>
    <w:rsid w:val="00B021D9"/>
    <w:rsid w:val="00B02474"/>
    <w:rsid w:val="00B026BC"/>
    <w:rsid w:val="00B0285C"/>
    <w:rsid w:val="00B0298D"/>
    <w:rsid w:val="00B02EA3"/>
    <w:rsid w:val="00B03236"/>
    <w:rsid w:val="00B035AF"/>
    <w:rsid w:val="00B036BE"/>
    <w:rsid w:val="00B03759"/>
    <w:rsid w:val="00B03920"/>
    <w:rsid w:val="00B03A57"/>
    <w:rsid w:val="00B03E5C"/>
    <w:rsid w:val="00B0440A"/>
    <w:rsid w:val="00B044C6"/>
    <w:rsid w:val="00B04980"/>
    <w:rsid w:val="00B053B0"/>
    <w:rsid w:val="00B053EE"/>
    <w:rsid w:val="00B0571B"/>
    <w:rsid w:val="00B05898"/>
    <w:rsid w:val="00B05A16"/>
    <w:rsid w:val="00B05A52"/>
    <w:rsid w:val="00B05B45"/>
    <w:rsid w:val="00B05B86"/>
    <w:rsid w:val="00B05F41"/>
    <w:rsid w:val="00B063C8"/>
    <w:rsid w:val="00B06448"/>
    <w:rsid w:val="00B0659C"/>
    <w:rsid w:val="00B067E8"/>
    <w:rsid w:val="00B069CF"/>
    <w:rsid w:val="00B06E62"/>
    <w:rsid w:val="00B06EB4"/>
    <w:rsid w:val="00B070C8"/>
    <w:rsid w:val="00B07296"/>
    <w:rsid w:val="00B072EC"/>
    <w:rsid w:val="00B077D6"/>
    <w:rsid w:val="00B077F6"/>
    <w:rsid w:val="00B078B1"/>
    <w:rsid w:val="00B07F47"/>
    <w:rsid w:val="00B10376"/>
    <w:rsid w:val="00B104AE"/>
    <w:rsid w:val="00B1051F"/>
    <w:rsid w:val="00B10634"/>
    <w:rsid w:val="00B10756"/>
    <w:rsid w:val="00B10936"/>
    <w:rsid w:val="00B10F93"/>
    <w:rsid w:val="00B11182"/>
    <w:rsid w:val="00B11391"/>
    <w:rsid w:val="00B11392"/>
    <w:rsid w:val="00B114A8"/>
    <w:rsid w:val="00B116F6"/>
    <w:rsid w:val="00B11B01"/>
    <w:rsid w:val="00B11FF2"/>
    <w:rsid w:val="00B12585"/>
    <w:rsid w:val="00B126EE"/>
    <w:rsid w:val="00B12751"/>
    <w:rsid w:val="00B1290E"/>
    <w:rsid w:val="00B12BAD"/>
    <w:rsid w:val="00B13006"/>
    <w:rsid w:val="00B13245"/>
    <w:rsid w:val="00B1378B"/>
    <w:rsid w:val="00B137C9"/>
    <w:rsid w:val="00B13907"/>
    <w:rsid w:val="00B1391D"/>
    <w:rsid w:val="00B14586"/>
    <w:rsid w:val="00B146CD"/>
    <w:rsid w:val="00B1482A"/>
    <w:rsid w:val="00B14913"/>
    <w:rsid w:val="00B149E0"/>
    <w:rsid w:val="00B14C5D"/>
    <w:rsid w:val="00B14E8B"/>
    <w:rsid w:val="00B152B6"/>
    <w:rsid w:val="00B1538E"/>
    <w:rsid w:val="00B1539F"/>
    <w:rsid w:val="00B155F6"/>
    <w:rsid w:val="00B16562"/>
    <w:rsid w:val="00B1658C"/>
    <w:rsid w:val="00B16881"/>
    <w:rsid w:val="00B16D83"/>
    <w:rsid w:val="00B16FA2"/>
    <w:rsid w:val="00B16FF7"/>
    <w:rsid w:val="00B1710D"/>
    <w:rsid w:val="00B174D2"/>
    <w:rsid w:val="00B174F6"/>
    <w:rsid w:val="00B17670"/>
    <w:rsid w:val="00B202E2"/>
    <w:rsid w:val="00B20548"/>
    <w:rsid w:val="00B20907"/>
    <w:rsid w:val="00B20990"/>
    <w:rsid w:val="00B2167A"/>
    <w:rsid w:val="00B21972"/>
    <w:rsid w:val="00B21D7D"/>
    <w:rsid w:val="00B21E43"/>
    <w:rsid w:val="00B21EC6"/>
    <w:rsid w:val="00B2222C"/>
    <w:rsid w:val="00B2248C"/>
    <w:rsid w:val="00B22E43"/>
    <w:rsid w:val="00B23023"/>
    <w:rsid w:val="00B2315F"/>
    <w:rsid w:val="00B23272"/>
    <w:rsid w:val="00B23663"/>
    <w:rsid w:val="00B23A1E"/>
    <w:rsid w:val="00B23E23"/>
    <w:rsid w:val="00B23EA3"/>
    <w:rsid w:val="00B23EAB"/>
    <w:rsid w:val="00B24003"/>
    <w:rsid w:val="00B24017"/>
    <w:rsid w:val="00B240D3"/>
    <w:rsid w:val="00B24F9D"/>
    <w:rsid w:val="00B25078"/>
    <w:rsid w:val="00B25476"/>
    <w:rsid w:val="00B2558D"/>
    <w:rsid w:val="00B257DD"/>
    <w:rsid w:val="00B25831"/>
    <w:rsid w:val="00B25BD6"/>
    <w:rsid w:val="00B261B3"/>
    <w:rsid w:val="00B26221"/>
    <w:rsid w:val="00B2624C"/>
    <w:rsid w:val="00B2648B"/>
    <w:rsid w:val="00B26651"/>
    <w:rsid w:val="00B26E53"/>
    <w:rsid w:val="00B26EF7"/>
    <w:rsid w:val="00B27082"/>
    <w:rsid w:val="00B27262"/>
    <w:rsid w:val="00B27374"/>
    <w:rsid w:val="00B27A34"/>
    <w:rsid w:val="00B27AC6"/>
    <w:rsid w:val="00B27ACC"/>
    <w:rsid w:val="00B27BA2"/>
    <w:rsid w:val="00B302D7"/>
    <w:rsid w:val="00B30398"/>
    <w:rsid w:val="00B304C0"/>
    <w:rsid w:val="00B306BF"/>
    <w:rsid w:val="00B307C0"/>
    <w:rsid w:val="00B30B5E"/>
    <w:rsid w:val="00B30D0E"/>
    <w:rsid w:val="00B31066"/>
    <w:rsid w:val="00B3111A"/>
    <w:rsid w:val="00B3115F"/>
    <w:rsid w:val="00B31533"/>
    <w:rsid w:val="00B31742"/>
    <w:rsid w:val="00B31899"/>
    <w:rsid w:val="00B318A5"/>
    <w:rsid w:val="00B318DC"/>
    <w:rsid w:val="00B318F8"/>
    <w:rsid w:val="00B31B8E"/>
    <w:rsid w:val="00B31D2A"/>
    <w:rsid w:val="00B32058"/>
    <w:rsid w:val="00B3274F"/>
    <w:rsid w:val="00B32E8A"/>
    <w:rsid w:val="00B33013"/>
    <w:rsid w:val="00B33412"/>
    <w:rsid w:val="00B33997"/>
    <w:rsid w:val="00B33C9F"/>
    <w:rsid w:val="00B33E68"/>
    <w:rsid w:val="00B33E6B"/>
    <w:rsid w:val="00B34208"/>
    <w:rsid w:val="00B342E0"/>
    <w:rsid w:val="00B3463D"/>
    <w:rsid w:val="00B34713"/>
    <w:rsid w:val="00B34950"/>
    <w:rsid w:val="00B34B1B"/>
    <w:rsid w:val="00B34CDE"/>
    <w:rsid w:val="00B34F63"/>
    <w:rsid w:val="00B3500C"/>
    <w:rsid w:val="00B35670"/>
    <w:rsid w:val="00B3572E"/>
    <w:rsid w:val="00B35853"/>
    <w:rsid w:val="00B35903"/>
    <w:rsid w:val="00B35BAD"/>
    <w:rsid w:val="00B3640F"/>
    <w:rsid w:val="00B36767"/>
    <w:rsid w:val="00B36897"/>
    <w:rsid w:val="00B369B5"/>
    <w:rsid w:val="00B36C4E"/>
    <w:rsid w:val="00B36EE9"/>
    <w:rsid w:val="00B36F42"/>
    <w:rsid w:val="00B36F78"/>
    <w:rsid w:val="00B3723F"/>
    <w:rsid w:val="00B3728B"/>
    <w:rsid w:val="00B37727"/>
    <w:rsid w:val="00B37765"/>
    <w:rsid w:val="00B377D0"/>
    <w:rsid w:val="00B377D7"/>
    <w:rsid w:val="00B37BD3"/>
    <w:rsid w:val="00B37BE5"/>
    <w:rsid w:val="00B4012B"/>
    <w:rsid w:val="00B4013C"/>
    <w:rsid w:val="00B40497"/>
    <w:rsid w:val="00B4066F"/>
    <w:rsid w:val="00B409AA"/>
    <w:rsid w:val="00B409EF"/>
    <w:rsid w:val="00B40AE7"/>
    <w:rsid w:val="00B40BFB"/>
    <w:rsid w:val="00B40EDB"/>
    <w:rsid w:val="00B40F45"/>
    <w:rsid w:val="00B40FF1"/>
    <w:rsid w:val="00B41314"/>
    <w:rsid w:val="00B4133D"/>
    <w:rsid w:val="00B4193D"/>
    <w:rsid w:val="00B41A2D"/>
    <w:rsid w:val="00B41A7A"/>
    <w:rsid w:val="00B41BDF"/>
    <w:rsid w:val="00B423C4"/>
    <w:rsid w:val="00B4261F"/>
    <w:rsid w:val="00B4276E"/>
    <w:rsid w:val="00B42947"/>
    <w:rsid w:val="00B42962"/>
    <w:rsid w:val="00B42DEA"/>
    <w:rsid w:val="00B43126"/>
    <w:rsid w:val="00B43300"/>
    <w:rsid w:val="00B435A1"/>
    <w:rsid w:val="00B43A54"/>
    <w:rsid w:val="00B43A89"/>
    <w:rsid w:val="00B43BE8"/>
    <w:rsid w:val="00B43E4E"/>
    <w:rsid w:val="00B43FC9"/>
    <w:rsid w:val="00B44135"/>
    <w:rsid w:val="00B442CD"/>
    <w:rsid w:val="00B447CB"/>
    <w:rsid w:val="00B45055"/>
    <w:rsid w:val="00B4506B"/>
    <w:rsid w:val="00B45612"/>
    <w:rsid w:val="00B45AA6"/>
    <w:rsid w:val="00B45E29"/>
    <w:rsid w:val="00B45E2E"/>
    <w:rsid w:val="00B45F21"/>
    <w:rsid w:val="00B46185"/>
    <w:rsid w:val="00B46499"/>
    <w:rsid w:val="00B4671F"/>
    <w:rsid w:val="00B46837"/>
    <w:rsid w:val="00B46A7E"/>
    <w:rsid w:val="00B46A8D"/>
    <w:rsid w:val="00B47162"/>
    <w:rsid w:val="00B472A5"/>
    <w:rsid w:val="00B474CC"/>
    <w:rsid w:val="00B47541"/>
    <w:rsid w:val="00B475D2"/>
    <w:rsid w:val="00B47893"/>
    <w:rsid w:val="00B478FB"/>
    <w:rsid w:val="00B4793B"/>
    <w:rsid w:val="00B4799B"/>
    <w:rsid w:val="00B479A8"/>
    <w:rsid w:val="00B47F94"/>
    <w:rsid w:val="00B5074E"/>
    <w:rsid w:val="00B507B0"/>
    <w:rsid w:val="00B51511"/>
    <w:rsid w:val="00B51614"/>
    <w:rsid w:val="00B51B52"/>
    <w:rsid w:val="00B51BB7"/>
    <w:rsid w:val="00B51C81"/>
    <w:rsid w:val="00B51D87"/>
    <w:rsid w:val="00B51E3B"/>
    <w:rsid w:val="00B52338"/>
    <w:rsid w:val="00B5257C"/>
    <w:rsid w:val="00B526CB"/>
    <w:rsid w:val="00B5275C"/>
    <w:rsid w:val="00B52C20"/>
    <w:rsid w:val="00B52F76"/>
    <w:rsid w:val="00B534C5"/>
    <w:rsid w:val="00B5399D"/>
    <w:rsid w:val="00B53A21"/>
    <w:rsid w:val="00B53B49"/>
    <w:rsid w:val="00B53C85"/>
    <w:rsid w:val="00B540B3"/>
    <w:rsid w:val="00B542A7"/>
    <w:rsid w:val="00B542B3"/>
    <w:rsid w:val="00B5456F"/>
    <w:rsid w:val="00B548FA"/>
    <w:rsid w:val="00B54A0A"/>
    <w:rsid w:val="00B54C3C"/>
    <w:rsid w:val="00B54CD6"/>
    <w:rsid w:val="00B55083"/>
    <w:rsid w:val="00B5543E"/>
    <w:rsid w:val="00B55889"/>
    <w:rsid w:val="00B5619B"/>
    <w:rsid w:val="00B56379"/>
    <w:rsid w:val="00B56643"/>
    <w:rsid w:val="00B56BE6"/>
    <w:rsid w:val="00B56FF3"/>
    <w:rsid w:val="00B57007"/>
    <w:rsid w:val="00B57016"/>
    <w:rsid w:val="00B571FD"/>
    <w:rsid w:val="00B57307"/>
    <w:rsid w:val="00B57624"/>
    <w:rsid w:val="00B5765A"/>
    <w:rsid w:val="00B57713"/>
    <w:rsid w:val="00B577AE"/>
    <w:rsid w:val="00B577F7"/>
    <w:rsid w:val="00B57816"/>
    <w:rsid w:val="00B57AFD"/>
    <w:rsid w:val="00B57EA9"/>
    <w:rsid w:val="00B6016A"/>
    <w:rsid w:val="00B6023B"/>
    <w:rsid w:val="00B60282"/>
    <w:rsid w:val="00B60317"/>
    <w:rsid w:val="00B606C5"/>
    <w:rsid w:val="00B606E2"/>
    <w:rsid w:val="00B60741"/>
    <w:rsid w:val="00B609AE"/>
    <w:rsid w:val="00B60BDA"/>
    <w:rsid w:val="00B60EF8"/>
    <w:rsid w:val="00B6129E"/>
    <w:rsid w:val="00B61502"/>
    <w:rsid w:val="00B61586"/>
    <w:rsid w:val="00B617BB"/>
    <w:rsid w:val="00B61B3B"/>
    <w:rsid w:val="00B61C55"/>
    <w:rsid w:val="00B61D39"/>
    <w:rsid w:val="00B61E76"/>
    <w:rsid w:val="00B62224"/>
    <w:rsid w:val="00B6243F"/>
    <w:rsid w:val="00B624D1"/>
    <w:rsid w:val="00B6276D"/>
    <w:rsid w:val="00B627ED"/>
    <w:rsid w:val="00B62861"/>
    <w:rsid w:val="00B62A2D"/>
    <w:rsid w:val="00B62DCC"/>
    <w:rsid w:val="00B6305C"/>
    <w:rsid w:val="00B630A8"/>
    <w:rsid w:val="00B63141"/>
    <w:rsid w:val="00B637A9"/>
    <w:rsid w:val="00B63B64"/>
    <w:rsid w:val="00B641F8"/>
    <w:rsid w:val="00B64399"/>
    <w:rsid w:val="00B64406"/>
    <w:rsid w:val="00B64479"/>
    <w:rsid w:val="00B6493A"/>
    <w:rsid w:val="00B64AA7"/>
    <w:rsid w:val="00B64E94"/>
    <w:rsid w:val="00B6521E"/>
    <w:rsid w:val="00B655DA"/>
    <w:rsid w:val="00B6579C"/>
    <w:rsid w:val="00B65945"/>
    <w:rsid w:val="00B65987"/>
    <w:rsid w:val="00B65B6A"/>
    <w:rsid w:val="00B65D95"/>
    <w:rsid w:val="00B65FEF"/>
    <w:rsid w:val="00B66022"/>
    <w:rsid w:val="00B6641C"/>
    <w:rsid w:val="00B66872"/>
    <w:rsid w:val="00B66E0C"/>
    <w:rsid w:val="00B6714F"/>
    <w:rsid w:val="00B6715B"/>
    <w:rsid w:val="00B67225"/>
    <w:rsid w:val="00B67233"/>
    <w:rsid w:val="00B6731C"/>
    <w:rsid w:val="00B6759E"/>
    <w:rsid w:val="00B675C7"/>
    <w:rsid w:val="00B67769"/>
    <w:rsid w:val="00B67A13"/>
    <w:rsid w:val="00B67BF7"/>
    <w:rsid w:val="00B67CE1"/>
    <w:rsid w:val="00B7037C"/>
    <w:rsid w:val="00B7064A"/>
    <w:rsid w:val="00B70DFE"/>
    <w:rsid w:val="00B70EC1"/>
    <w:rsid w:val="00B7102C"/>
    <w:rsid w:val="00B711FD"/>
    <w:rsid w:val="00B713A0"/>
    <w:rsid w:val="00B717EE"/>
    <w:rsid w:val="00B7191C"/>
    <w:rsid w:val="00B7194C"/>
    <w:rsid w:val="00B71C7E"/>
    <w:rsid w:val="00B71E9A"/>
    <w:rsid w:val="00B7228A"/>
    <w:rsid w:val="00B726C8"/>
    <w:rsid w:val="00B72862"/>
    <w:rsid w:val="00B72975"/>
    <w:rsid w:val="00B72B84"/>
    <w:rsid w:val="00B72E97"/>
    <w:rsid w:val="00B73204"/>
    <w:rsid w:val="00B73C27"/>
    <w:rsid w:val="00B73FD8"/>
    <w:rsid w:val="00B74CB4"/>
    <w:rsid w:val="00B751D6"/>
    <w:rsid w:val="00B752F8"/>
    <w:rsid w:val="00B754C5"/>
    <w:rsid w:val="00B75629"/>
    <w:rsid w:val="00B75731"/>
    <w:rsid w:val="00B7597C"/>
    <w:rsid w:val="00B75AE4"/>
    <w:rsid w:val="00B75CDF"/>
    <w:rsid w:val="00B75E3F"/>
    <w:rsid w:val="00B76245"/>
    <w:rsid w:val="00B76380"/>
    <w:rsid w:val="00B7662E"/>
    <w:rsid w:val="00B766DC"/>
    <w:rsid w:val="00B76732"/>
    <w:rsid w:val="00B76744"/>
    <w:rsid w:val="00B76DEC"/>
    <w:rsid w:val="00B76E13"/>
    <w:rsid w:val="00B76EE9"/>
    <w:rsid w:val="00B76F08"/>
    <w:rsid w:val="00B770B0"/>
    <w:rsid w:val="00B771A5"/>
    <w:rsid w:val="00B7727D"/>
    <w:rsid w:val="00B77585"/>
    <w:rsid w:val="00B778D8"/>
    <w:rsid w:val="00B77EB7"/>
    <w:rsid w:val="00B8001B"/>
    <w:rsid w:val="00B8009D"/>
    <w:rsid w:val="00B8079F"/>
    <w:rsid w:val="00B8098A"/>
    <w:rsid w:val="00B80AD0"/>
    <w:rsid w:val="00B80C92"/>
    <w:rsid w:val="00B80F2D"/>
    <w:rsid w:val="00B8131B"/>
    <w:rsid w:val="00B8162D"/>
    <w:rsid w:val="00B8169B"/>
    <w:rsid w:val="00B81AA6"/>
    <w:rsid w:val="00B81AB9"/>
    <w:rsid w:val="00B81F37"/>
    <w:rsid w:val="00B82086"/>
    <w:rsid w:val="00B82511"/>
    <w:rsid w:val="00B827AC"/>
    <w:rsid w:val="00B829E4"/>
    <w:rsid w:val="00B82F51"/>
    <w:rsid w:val="00B832AD"/>
    <w:rsid w:val="00B8339E"/>
    <w:rsid w:val="00B833AC"/>
    <w:rsid w:val="00B83A8D"/>
    <w:rsid w:val="00B8400D"/>
    <w:rsid w:val="00B840E0"/>
    <w:rsid w:val="00B8411D"/>
    <w:rsid w:val="00B844D9"/>
    <w:rsid w:val="00B84762"/>
    <w:rsid w:val="00B84BF4"/>
    <w:rsid w:val="00B8506E"/>
    <w:rsid w:val="00B85107"/>
    <w:rsid w:val="00B851F0"/>
    <w:rsid w:val="00B8551A"/>
    <w:rsid w:val="00B859B1"/>
    <w:rsid w:val="00B85E56"/>
    <w:rsid w:val="00B85EC9"/>
    <w:rsid w:val="00B86104"/>
    <w:rsid w:val="00B8620D"/>
    <w:rsid w:val="00B86626"/>
    <w:rsid w:val="00B86684"/>
    <w:rsid w:val="00B8669A"/>
    <w:rsid w:val="00B86C92"/>
    <w:rsid w:val="00B879C6"/>
    <w:rsid w:val="00B87C7E"/>
    <w:rsid w:val="00B90229"/>
    <w:rsid w:val="00B90707"/>
    <w:rsid w:val="00B9079B"/>
    <w:rsid w:val="00B907C4"/>
    <w:rsid w:val="00B9082A"/>
    <w:rsid w:val="00B90949"/>
    <w:rsid w:val="00B90C17"/>
    <w:rsid w:val="00B9105C"/>
    <w:rsid w:val="00B91263"/>
    <w:rsid w:val="00B912A0"/>
    <w:rsid w:val="00B9158B"/>
    <w:rsid w:val="00B91803"/>
    <w:rsid w:val="00B91E75"/>
    <w:rsid w:val="00B9205E"/>
    <w:rsid w:val="00B92073"/>
    <w:rsid w:val="00B921F7"/>
    <w:rsid w:val="00B922F7"/>
    <w:rsid w:val="00B92345"/>
    <w:rsid w:val="00B9262A"/>
    <w:rsid w:val="00B927E5"/>
    <w:rsid w:val="00B928E6"/>
    <w:rsid w:val="00B9290F"/>
    <w:rsid w:val="00B92A4B"/>
    <w:rsid w:val="00B92CA8"/>
    <w:rsid w:val="00B92CF5"/>
    <w:rsid w:val="00B92FDA"/>
    <w:rsid w:val="00B931FA"/>
    <w:rsid w:val="00B93464"/>
    <w:rsid w:val="00B93C4B"/>
    <w:rsid w:val="00B93D4B"/>
    <w:rsid w:val="00B94256"/>
    <w:rsid w:val="00B944F8"/>
    <w:rsid w:val="00B94A06"/>
    <w:rsid w:val="00B94A76"/>
    <w:rsid w:val="00B95017"/>
    <w:rsid w:val="00B950D3"/>
    <w:rsid w:val="00B950FC"/>
    <w:rsid w:val="00B953FE"/>
    <w:rsid w:val="00B9560E"/>
    <w:rsid w:val="00B9577D"/>
    <w:rsid w:val="00B958BC"/>
    <w:rsid w:val="00B95A22"/>
    <w:rsid w:val="00B962A4"/>
    <w:rsid w:val="00B962FB"/>
    <w:rsid w:val="00B963C0"/>
    <w:rsid w:val="00B96443"/>
    <w:rsid w:val="00B967F6"/>
    <w:rsid w:val="00B96862"/>
    <w:rsid w:val="00B96EF8"/>
    <w:rsid w:val="00B97446"/>
    <w:rsid w:val="00B975F3"/>
    <w:rsid w:val="00B97632"/>
    <w:rsid w:val="00B977FD"/>
    <w:rsid w:val="00B97972"/>
    <w:rsid w:val="00B97FA2"/>
    <w:rsid w:val="00BA01A1"/>
    <w:rsid w:val="00BA0337"/>
    <w:rsid w:val="00BA04B8"/>
    <w:rsid w:val="00BA06D0"/>
    <w:rsid w:val="00BA077F"/>
    <w:rsid w:val="00BA0917"/>
    <w:rsid w:val="00BA0993"/>
    <w:rsid w:val="00BA09BF"/>
    <w:rsid w:val="00BA0F3C"/>
    <w:rsid w:val="00BA132E"/>
    <w:rsid w:val="00BA13F8"/>
    <w:rsid w:val="00BA17DB"/>
    <w:rsid w:val="00BA1843"/>
    <w:rsid w:val="00BA1E11"/>
    <w:rsid w:val="00BA21A5"/>
    <w:rsid w:val="00BA2645"/>
    <w:rsid w:val="00BA2648"/>
    <w:rsid w:val="00BA274C"/>
    <w:rsid w:val="00BA2AD4"/>
    <w:rsid w:val="00BA2C2D"/>
    <w:rsid w:val="00BA2C88"/>
    <w:rsid w:val="00BA2D61"/>
    <w:rsid w:val="00BA2E23"/>
    <w:rsid w:val="00BA3359"/>
    <w:rsid w:val="00BA35F7"/>
    <w:rsid w:val="00BA3644"/>
    <w:rsid w:val="00BA38D6"/>
    <w:rsid w:val="00BA3A62"/>
    <w:rsid w:val="00BA3A96"/>
    <w:rsid w:val="00BA3B34"/>
    <w:rsid w:val="00BA3FE5"/>
    <w:rsid w:val="00BA404B"/>
    <w:rsid w:val="00BA41DB"/>
    <w:rsid w:val="00BA44C7"/>
    <w:rsid w:val="00BA4CC7"/>
    <w:rsid w:val="00BA51BF"/>
    <w:rsid w:val="00BA5474"/>
    <w:rsid w:val="00BA5A9F"/>
    <w:rsid w:val="00BA5D26"/>
    <w:rsid w:val="00BA61D6"/>
    <w:rsid w:val="00BA6256"/>
    <w:rsid w:val="00BA62D6"/>
    <w:rsid w:val="00BA632E"/>
    <w:rsid w:val="00BA6549"/>
    <w:rsid w:val="00BA679C"/>
    <w:rsid w:val="00BA6C9D"/>
    <w:rsid w:val="00BA6D33"/>
    <w:rsid w:val="00BA6D7C"/>
    <w:rsid w:val="00BA6F59"/>
    <w:rsid w:val="00BA700E"/>
    <w:rsid w:val="00BA70BA"/>
    <w:rsid w:val="00BA7325"/>
    <w:rsid w:val="00BA7DEA"/>
    <w:rsid w:val="00BB027C"/>
    <w:rsid w:val="00BB036E"/>
    <w:rsid w:val="00BB059D"/>
    <w:rsid w:val="00BB0A39"/>
    <w:rsid w:val="00BB0ECB"/>
    <w:rsid w:val="00BB10A0"/>
    <w:rsid w:val="00BB186E"/>
    <w:rsid w:val="00BB1943"/>
    <w:rsid w:val="00BB197E"/>
    <w:rsid w:val="00BB1A76"/>
    <w:rsid w:val="00BB1CC8"/>
    <w:rsid w:val="00BB1D72"/>
    <w:rsid w:val="00BB2137"/>
    <w:rsid w:val="00BB21D8"/>
    <w:rsid w:val="00BB2249"/>
    <w:rsid w:val="00BB24A3"/>
    <w:rsid w:val="00BB2567"/>
    <w:rsid w:val="00BB28B0"/>
    <w:rsid w:val="00BB2C2E"/>
    <w:rsid w:val="00BB32E9"/>
    <w:rsid w:val="00BB342B"/>
    <w:rsid w:val="00BB345E"/>
    <w:rsid w:val="00BB3486"/>
    <w:rsid w:val="00BB3B42"/>
    <w:rsid w:val="00BB4000"/>
    <w:rsid w:val="00BB4FF8"/>
    <w:rsid w:val="00BB535D"/>
    <w:rsid w:val="00BB53B5"/>
    <w:rsid w:val="00BB5601"/>
    <w:rsid w:val="00BB5686"/>
    <w:rsid w:val="00BB575A"/>
    <w:rsid w:val="00BB5A59"/>
    <w:rsid w:val="00BB5C4D"/>
    <w:rsid w:val="00BB5EA7"/>
    <w:rsid w:val="00BB66F3"/>
    <w:rsid w:val="00BB69A5"/>
    <w:rsid w:val="00BB69AF"/>
    <w:rsid w:val="00BB6CDA"/>
    <w:rsid w:val="00BB7076"/>
    <w:rsid w:val="00BB7621"/>
    <w:rsid w:val="00BB76F3"/>
    <w:rsid w:val="00BB7CF2"/>
    <w:rsid w:val="00BB7D5D"/>
    <w:rsid w:val="00BC0066"/>
    <w:rsid w:val="00BC0686"/>
    <w:rsid w:val="00BC0792"/>
    <w:rsid w:val="00BC0C08"/>
    <w:rsid w:val="00BC0D43"/>
    <w:rsid w:val="00BC0EFB"/>
    <w:rsid w:val="00BC1054"/>
    <w:rsid w:val="00BC1232"/>
    <w:rsid w:val="00BC1D01"/>
    <w:rsid w:val="00BC1E28"/>
    <w:rsid w:val="00BC1F5F"/>
    <w:rsid w:val="00BC2137"/>
    <w:rsid w:val="00BC21EE"/>
    <w:rsid w:val="00BC2694"/>
    <w:rsid w:val="00BC282B"/>
    <w:rsid w:val="00BC2A0B"/>
    <w:rsid w:val="00BC2DC2"/>
    <w:rsid w:val="00BC3548"/>
    <w:rsid w:val="00BC3A08"/>
    <w:rsid w:val="00BC40E3"/>
    <w:rsid w:val="00BC42BB"/>
    <w:rsid w:val="00BC4611"/>
    <w:rsid w:val="00BC472B"/>
    <w:rsid w:val="00BC4731"/>
    <w:rsid w:val="00BC48AB"/>
    <w:rsid w:val="00BC49ED"/>
    <w:rsid w:val="00BC4A8C"/>
    <w:rsid w:val="00BC4C8C"/>
    <w:rsid w:val="00BC4E16"/>
    <w:rsid w:val="00BC5164"/>
    <w:rsid w:val="00BC5263"/>
    <w:rsid w:val="00BC53F2"/>
    <w:rsid w:val="00BC5456"/>
    <w:rsid w:val="00BC5568"/>
    <w:rsid w:val="00BC56DA"/>
    <w:rsid w:val="00BC589C"/>
    <w:rsid w:val="00BC5A06"/>
    <w:rsid w:val="00BC5F86"/>
    <w:rsid w:val="00BC612B"/>
    <w:rsid w:val="00BC65D1"/>
    <w:rsid w:val="00BC65D8"/>
    <w:rsid w:val="00BC69A2"/>
    <w:rsid w:val="00BC6B83"/>
    <w:rsid w:val="00BC6C10"/>
    <w:rsid w:val="00BC703D"/>
    <w:rsid w:val="00BC72A9"/>
    <w:rsid w:val="00BC72D7"/>
    <w:rsid w:val="00BC7618"/>
    <w:rsid w:val="00BC7683"/>
    <w:rsid w:val="00BC76B9"/>
    <w:rsid w:val="00BC78F0"/>
    <w:rsid w:val="00BC7B3F"/>
    <w:rsid w:val="00BC7DEE"/>
    <w:rsid w:val="00BC7E21"/>
    <w:rsid w:val="00BD0102"/>
    <w:rsid w:val="00BD0264"/>
    <w:rsid w:val="00BD0476"/>
    <w:rsid w:val="00BD0491"/>
    <w:rsid w:val="00BD0612"/>
    <w:rsid w:val="00BD07B7"/>
    <w:rsid w:val="00BD0B6E"/>
    <w:rsid w:val="00BD0CA5"/>
    <w:rsid w:val="00BD0D19"/>
    <w:rsid w:val="00BD0DAE"/>
    <w:rsid w:val="00BD0EDD"/>
    <w:rsid w:val="00BD0F06"/>
    <w:rsid w:val="00BD0F5C"/>
    <w:rsid w:val="00BD0F6F"/>
    <w:rsid w:val="00BD0FD7"/>
    <w:rsid w:val="00BD11AF"/>
    <w:rsid w:val="00BD13E0"/>
    <w:rsid w:val="00BD1415"/>
    <w:rsid w:val="00BD156A"/>
    <w:rsid w:val="00BD15CC"/>
    <w:rsid w:val="00BD16E3"/>
    <w:rsid w:val="00BD1A65"/>
    <w:rsid w:val="00BD1FC7"/>
    <w:rsid w:val="00BD2102"/>
    <w:rsid w:val="00BD21F1"/>
    <w:rsid w:val="00BD28D7"/>
    <w:rsid w:val="00BD2DA9"/>
    <w:rsid w:val="00BD316B"/>
    <w:rsid w:val="00BD32CA"/>
    <w:rsid w:val="00BD3379"/>
    <w:rsid w:val="00BD36FD"/>
    <w:rsid w:val="00BD3797"/>
    <w:rsid w:val="00BD39CF"/>
    <w:rsid w:val="00BD3A09"/>
    <w:rsid w:val="00BD450F"/>
    <w:rsid w:val="00BD45EA"/>
    <w:rsid w:val="00BD4653"/>
    <w:rsid w:val="00BD46F4"/>
    <w:rsid w:val="00BD4747"/>
    <w:rsid w:val="00BD48FE"/>
    <w:rsid w:val="00BD4DBD"/>
    <w:rsid w:val="00BD502D"/>
    <w:rsid w:val="00BD51A8"/>
    <w:rsid w:val="00BD5306"/>
    <w:rsid w:val="00BD560B"/>
    <w:rsid w:val="00BD57D3"/>
    <w:rsid w:val="00BD5A6E"/>
    <w:rsid w:val="00BD5B60"/>
    <w:rsid w:val="00BD5D2B"/>
    <w:rsid w:val="00BD6132"/>
    <w:rsid w:val="00BD61B1"/>
    <w:rsid w:val="00BD6475"/>
    <w:rsid w:val="00BD6657"/>
    <w:rsid w:val="00BD6812"/>
    <w:rsid w:val="00BD686A"/>
    <w:rsid w:val="00BD6CE4"/>
    <w:rsid w:val="00BD6D1D"/>
    <w:rsid w:val="00BD6FCD"/>
    <w:rsid w:val="00BD7009"/>
    <w:rsid w:val="00BD733C"/>
    <w:rsid w:val="00BD757D"/>
    <w:rsid w:val="00BD785C"/>
    <w:rsid w:val="00BD7AA3"/>
    <w:rsid w:val="00BE01E1"/>
    <w:rsid w:val="00BE025D"/>
    <w:rsid w:val="00BE08B2"/>
    <w:rsid w:val="00BE08D0"/>
    <w:rsid w:val="00BE08E6"/>
    <w:rsid w:val="00BE0B6B"/>
    <w:rsid w:val="00BE0C76"/>
    <w:rsid w:val="00BE0F97"/>
    <w:rsid w:val="00BE15D6"/>
    <w:rsid w:val="00BE168F"/>
    <w:rsid w:val="00BE17E5"/>
    <w:rsid w:val="00BE18FF"/>
    <w:rsid w:val="00BE19E3"/>
    <w:rsid w:val="00BE19FB"/>
    <w:rsid w:val="00BE1EE8"/>
    <w:rsid w:val="00BE2099"/>
    <w:rsid w:val="00BE2166"/>
    <w:rsid w:val="00BE2324"/>
    <w:rsid w:val="00BE2475"/>
    <w:rsid w:val="00BE2499"/>
    <w:rsid w:val="00BE2530"/>
    <w:rsid w:val="00BE2A05"/>
    <w:rsid w:val="00BE2F8D"/>
    <w:rsid w:val="00BE33F1"/>
    <w:rsid w:val="00BE34BF"/>
    <w:rsid w:val="00BE3714"/>
    <w:rsid w:val="00BE3903"/>
    <w:rsid w:val="00BE3B49"/>
    <w:rsid w:val="00BE3CA3"/>
    <w:rsid w:val="00BE4037"/>
    <w:rsid w:val="00BE428F"/>
    <w:rsid w:val="00BE49A7"/>
    <w:rsid w:val="00BE4A01"/>
    <w:rsid w:val="00BE4D6F"/>
    <w:rsid w:val="00BE4F39"/>
    <w:rsid w:val="00BE4F58"/>
    <w:rsid w:val="00BE5607"/>
    <w:rsid w:val="00BE56FD"/>
    <w:rsid w:val="00BE580B"/>
    <w:rsid w:val="00BE5A71"/>
    <w:rsid w:val="00BE5C95"/>
    <w:rsid w:val="00BE6451"/>
    <w:rsid w:val="00BE6721"/>
    <w:rsid w:val="00BE6829"/>
    <w:rsid w:val="00BE693D"/>
    <w:rsid w:val="00BE6A9C"/>
    <w:rsid w:val="00BE6DFF"/>
    <w:rsid w:val="00BE74AA"/>
    <w:rsid w:val="00BE75E6"/>
    <w:rsid w:val="00BE7950"/>
    <w:rsid w:val="00BE7A65"/>
    <w:rsid w:val="00BE7C83"/>
    <w:rsid w:val="00BE7CFF"/>
    <w:rsid w:val="00BE7DD8"/>
    <w:rsid w:val="00BE7E9B"/>
    <w:rsid w:val="00BF003E"/>
    <w:rsid w:val="00BF0271"/>
    <w:rsid w:val="00BF04AA"/>
    <w:rsid w:val="00BF0545"/>
    <w:rsid w:val="00BF06DD"/>
    <w:rsid w:val="00BF074A"/>
    <w:rsid w:val="00BF09C4"/>
    <w:rsid w:val="00BF09F0"/>
    <w:rsid w:val="00BF0A4B"/>
    <w:rsid w:val="00BF1239"/>
    <w:rsid w:val="00BF12C4"/>
    <w:rsid w:val="00BF14B4"/>
    <w:rsid w:val="00BF1C5B"/>
    <w:rsid w:val="00BF1C7F"/>
    <w:rsid w:val="00BF1E72"/>
    <w:rsid w:val="00BF232C"/>
    <w:rsid w:val="00BF2361"/>
    <w:rsid w:val="00BF2427"/>
    <w:rsid w:val="00BF24F4"/>
    <w:rsid w:val="00BF2889"/>
    <w:rsid w:val="00BF2BC5"/>
    <w:rsid w:val="00BF2C0E"/>
    <w:rsid w:val="00BF2ECA"/>
    <w:rsid w:val="00BF303F"/>
    <w:rsid w:val="00BF3043"/>
    <w:rsid w:val="00BF3098"/>
    <w:rsid w:val="00BF346B"/>
    <w:rsid w:val="00BF3A97"/>
    <w:rsid w:val="00BF4107"/>
    <w:rsid w:val="00BF4113"/>
    <w:rsid w:val="00BF4369"/>
    <w:rsid w:val="00BF43F6"/>
    <w:rsid w:val="00BF4515"/>
    <w:rsid w:val="00BF4728"/>
    <w:rsid w:val="00BF4813"/>
    <w:rsid w:val="00BF4913"/>
    <w:rsid w:val="00BF4A03"/>
    <w:rsid w:val="00BF4A21"/>
    <w:rsid w:val="00BF4AA6"/>
    <w:rsid w:val="00BF4F31"/>
    <w:rsid w:val="00BF5047"/>
    <w:rsid w:val="00BF504C"/>
    <w:rsid w:val="00BF5146"/>
    <w:rsid w:val="00BF52E6"/>
    <w:rsid w:val="00BF54A4"/>
    <w:rsid w:val="00BF5A29"/>
    <w:rsid w:val="00BF5AB4"/>
    <w:rsid w:val="00BF5BDA"/>
    <w:rsid w:val="00BF5E81"/>
    <w:rsid w:val="00BF5FBC"/>
    <w:rsid w:val="00BF61ED"/>
    <w:rsid w:val="00BF65CA"/>
    <w:rsid w:val="00BF6E21"/>
    <w:rsid w:val="00BF6F08"/>
    <w:rsid w:val="00BF702F"/>
    <w:rsid w:val="00BF7064"/>
    <w:rsid w:val="00BF7452"/>
    <w:rsid w:val="00BF750D"/>
    <w:rsid w:val="00BF7977"/>
    <w:rsid w:val="00BF7C9B"/>
    <w:rsid w:val="00C000AD"/>
    <w:rsid w:val="00C00174"/>
    <w:rsid w:val="00C00241"/>
    <w:rsid w:val="00C00BFA"/>
    <w:rsid w:val="00C00DD4"/>
    <w:rsid w:val="00C00EE3"/>
    <w:rsid w:val="00C01123"/>
    <w:rsid w:val="00C011F7"/>
    <w:rsid w:val="00C01621"/>
    <w:rsid w:val="00C0171D"/>
    <w:rsid w:val="00C01856"/>
    <w:rsid w:val="00C01DF6"/>
    <w:rsid w:val="00C01E23"/>
    <w:rsid w:val="00C021E2"/>
    <w:rsid w:val="00C0269F"/>
    <w:rsid w:val="00C02AB5"/>
    <w:rsid w:val="00C02B7F"/>
    <w:rsid w:val="00C02B92"/>
    <w:rsid w:val="00C02F60"/>
    <w:rsid w:val="00C03191"/>
    <w:rsid w:val="00C0324B"/>
    <w:rsid w:val="00C03A44"/>
    <w:rsid w:val="00C03B38"/>
    <w:rsid w:val="00C03E2D"/>
    <w:rsid w:val="00C0425E"/>
    <w:rsid w:val="00C0463D"/>
    <w:rsid w:val="00C047F1"/>
    <w:rsid w:val="00C048AF"/>
    <w:rsid w:val="00C04DD6"/>
    <w:rsid w:val="00C051EC"/>
    <w:rsid w:val="00C052D4"/>
    <w:rsid w:val="00C05300"/>
    <w:rsid w:val="00C0544F"/>
    <w:rsid w:val="00C05525"/>
    <w:rsid w:val="00C05AB0"/>
    <w:rsid w:val="00C05CB5"/>
    <w:rsid w:val="00C05DCF"/>
    <w:rsid w:val="00C06374"/>
    <w:rsid w:val="00C063C5"/>
    <w:rsid w:val="00C066C3"/>
    <w:rsid w:val="00C066D8"/>
    <w:rsid w:val="00C06883"/>
    <w:rsid w:val="00C06B7A"/>
    <w:rsid w:val="00C06F28"/>
    <w:rsid w:val="00C06F95"/>
    <w:rsid w:val="00C07183"/>
    <w:rsid w:val="00C07458"/>
    <w:rsid w:val="00C076BE"/>
    <w:rsid w:val="00C07998"/>
    <w:rsid w:val="00C07B98"/>
    <w:rsid w:val="00C07C33"/>
    <w:rsid w:val="00C10318"/>
    <w:rsid w:val="00C10486"/>
    <w:rsid w:val="00C10500"/>
    <w:rsid w:val="00C1050A"/>
    <w:rsid w:val="00C10C49"/>
    <w:rsid w:val="00C110E4"/>
    <w:rsid w:val="00C1110D"/>
    <w:rsid w:val="00C1145B"/>
    <w:rsid w:val="00C11A50"/>
    <w:rsid w:val="00C11A86"/>
    <w:rsid w:val="00C11A8B"/>
    <w:rsid w:val="00C11FD2"/>
    <w:rsid w:val="00C1231A"/>
    <w:rsid w:val="00C12480"/>
    <w:rsid w:val="00C127B1"/>
    <w:rsid w:val="00C127F1"/>
    <w:rsid w:val="00C12800"/>
    <w:rsid w:val="00C12BB0"/>
    <w:rsid w:val="00C12F57"/>
    <w:rsid w:val="00C1302F"/>
    <w:rsid w:val="00C13213"/>
    <w:rsid w:val="00C134B7"/>
    <w:rsid w:val="00C134DB"/>
    <w:rsid w:val="00C13851"/>
    <w:rsid w:val="00C13BC5"/>
    <w:rsid w:val="00C13C12"/>
    <w:rsid w:val="00C13E13"/>
    <w:rsid w:val="00C14417"/>
    <w:rsid w:val="00C1447A"/>
    <w:rsid w:val="00C1448D"/>
    <w:rsid w:val="00C14AA9"/>
    <w:rsid w:val="00C14B17"/>
    <w:rsid w:val="00C14B8E"/>
    <w:rsid w:val="00C14DE5"/>
    <w:rsid w:val="00C14F88"/>
    <w:rsid w:val="00C150D6"/>
    <w:rsid w:val="00C15146"/>
    <w:rsid w:val="00C15402"/>
    <w:rsid w:val="00C15A6D"/>
    <w:rsid w:val="00C15CB4"/>
    <w:rsid w:val="00C15DBB"/>
    <w:rsid w:val="00C15E44"/>
    <w:rsid w:val="00C15E87"/>
    <w:rsid w:val="00C15FED"/>
    <w:rsid w:val="00C16208"/>
    <w:rsid w:val="00C16416"/>
    <w:rsid w:val="00C16443"/>
    <w:rsid w:val="00C1646F"/>
    <w:rsid w:val="00C165B7"/>
    <w:rsid w:val="00C169E4"/>
    <w:rsid w:val="00C16BDF"/>
    <w:rsid w:val="00C16C72"/>
    <w:rsid w:val="00C171AF"/>
    <w:rsid w:val="00C173A1"/>
    <w:rsid w:val="00C175D0"/>
    <w:rsid w:val="00C177EE"/>
    <w:rsid w:val="00C1781A"/>
    <w:rsid w:val="00C1791A"/>
    <w:rsid w:val="00C17C48"/>
    <w:rsid w:val="00C17CFD"/>
    <w:rsid w:val="00C200CB"/>
    <w:rsid w:val="00C20130"/>
    <w:rsid w:val="00C2034E"/>
    <w:rsid w:val="00C203F2"/>
    <w:rsid w:val="00C204FF"/>
    <w:rsid w:val="00C207B9"/>
    <w:rsid w:val="00C2096B"/>
    <w:rsid w:val="00C20C39"/>
    <w:rsid w:val="00C20CB5"/>
    <w:rsid w:val="00C2155F"/>
    <w:rsid w:val="00C21878"/>
    <w:rsid w:val="00C218AB"/>
    <w:rsid w:val="00C21976"/>
    <w:rsid w:val="00C21991"/>
    <w:rsid w:val="00C21A84"/>
    <w:rsid w:val="00C21A8D"/>
    <w:rsid w:val="00C21C32"/>
    <w:rsid w:val="00C21DBB"/>
    <w:rsid w:val="00C21E2C"/>
    <w:rsid w:val="00C21F76"/>
    <w:rsid w:val="00C22288"/>
    <w:rsid w:val="00C225A5"/>
    <w:rsid w:val="00C22923"/>
    <w:rsid w:val="00C229E6"/>
    <w:rsid w:val="00C22C16"/>
    <w:rsid w:val="00C22C86"/>
    <w:rsid w:val="00C22D8B"/>
    <w:rsid w:val="00C232A4"/>
    <w:rsid w:val="00C23346"/>
    <w:rsid w:val="00C239BB"/>
    <w:rsid w:val="00C239CD"/>
    <w:rsid w:val="00C23C01"/>
    <w:rsid w:val="00C23E21"/>
    <w:rsid w:val="00C2413D"/>
    <w:rsid w:val="00C24316"/>
    <w:rsid w:val="00C24620"/>
    <w:rsid w:val="00C24D19"/>
    <w:rsid w:val="00C24DB0"/>
    <w:rsid w:val="00C2523C"/>
    <w:rsid w:val="00C256D3"/>
    <w:rsid w:val="00C25B71"/>
    <w:rsid w:val="00C25F8E"/>
    <w:rsid w:val="00C26114"/>
    <w:rsid w:val="00C267B7"/>
    <w:rsid w:val="00C26927"/>
    <w:rsid w:val="00C26ABF"/>
    <w:rsid w:val="00C26ACA"/>
    <w:rsid w:val="00C26B1C"/>
    <w:rsid w:val="00C26DD9"/>
    <w:rsid w:val="00C274A6"/>
    <w:rsid w:val="00C274AA"/>
    <w:rsid w:val="00C27511"/>
    <w:rsid w:val="00C27D0F"/>
    <w:rsid w:val="00C27DCB"/>
    <w:rsid w:val="00C27DD0"/>
    <w:rsid w:val="00C3003C"/>
    <w:rsid w:val="00C30A3E"/>
    <w:rsid w:val="00C30C69"/>
    <w:rsid w:val="00C313EA"/>
    <w:rsid w:val="00C32348"/>
    <w:rsid w:val="00C32511"/>
    <w:rsid w:val="00C325B7"/>
    <w:rsid w:val="00C32965"/>
    <w:rsid w:val="00C32C06"/>
    <w:rsid w:val="00C32D72"/>
    <w:rsid w:val="00C3326D"/>
    <w:rsid w:val="00C335EF"/>
    <w:rsid w:val="00C3398C"/>
    <w:rsid w:val="00C33FF2"/>
    <w:rsid w:val="00C34023"/>
    <w:rsid w:val="00C3426D"/>
    <w:rsid w:val="00C342BE"/>
    <w:rsid w:val="00C34CC2"/>
    <w:rsid w:val="00C34E9E"/>
    <w:rsid w:val="00C34F3E"/>
    <w:rsid w:val="00C350F6"/>
    <w:rsid w:val="00C35322"/>
    <w:rsid w:val="00C35476"/>
    <w:rsid w:val="00C35594"/>
    <w:rsid w:val="00C358E8"/>
    <w:rsid w:val="00C362CA"/>
    <w:rsid w:val="00C3642E"/>
    <w:rsid w:val="00C36443"/>
    <w:rsid w:val="00C36645"/>
    <w:rsid w:val="00C368D8"/>
    <w:rsid w:val="00C36BD5"/>
    <w:rsid w:val="00C36C7B"/>
    <w:rsid w:val="00C370AD"/>
    <w:rsid w:val="00C37152"/>
    <w:rsid w:val="00C371C0"/>
    <w:rsid w:val="00C37472"/>
    <w:rsid w:val="00C37610"/>
    <w:rsid w:val="00C376E8"/>
    <w:rsid w:val="00C378F5"/>
    <w:rsid w:val="00C37FCF"/>
    <w:rsid w:val="00C400E3"/>
    <w:rsid w:val="00C401EE"/>
    <w:rsid w:val="00C40664"/>
    <w:rsid w:val="00C408DD"/>
    <w:rsid w:val="00C409BA"/>
    <w:rsid w:val="00C40B2F"/>
    <w:rsid w:val="00C40BDC"/>
    <w:rsid w:val="00C40C8B"/>
    <w:rsid w:val="00C40E7F"/>
    <w:rsid w:val="00C41812"/>
    <w:rsid w:val="00C41C75"/>
    <w:rsid w:val="00C41E32"/>
    <w:rsid w:val="00C4204B"/>
    <w:rsid w:val="00C4214B"/>
    <w:rsid w:val="00C42331"/>
    <w:rsid w:val="00C42859"/>
    <w:rsid w:val="00C4287C"/>
    <w:rsid w:val="00C42E60"/>
    <w:rsid w:val="00C43541"/>
    <w:rsid w:val="00C43A90"/>
    <w:rsid w:val="00C43BBD"/>
    <w:rsid w:val="00C43C2E"/>
    <w:rsid w:val="00C43DA0"/>
    <w:rsid w:val="00C43DE0"/>
    <w:rsid w:val="00C441C7"/>
    <w:rsid w:val="00C44207"/>
    <w:rsid w:val="00C44402"/>
    <w:rsid w:val="00C44570"/>
    <w:rsid w:val="00C44659"/>
    <w:rsid w:val="00C446B5"/>
    <w:rsid w:val="00C44A31"/>
    <w:rsid w:val="00C44ADA"/>
    <w:rsid w:val="00C44BC4"/>
    <w:rsid w:val="00C44C14"/>
    <w:rsid w:val="00C4504B"/>
    <w:rsid w:val="00C455CB"/>
    <w:rsid w:val="00C45E88"/>
    <w:rsid w:val="00C46060"/>
    <w:rsid w:val="00C46094"/>
    <w:rsid w:val="00C4638F"/>
    <w:rsid w:val="00C46483"/>
    <w:rsid w:val="00C46BB9"/>
    <w:rsid w:val="00C46CF0"/>
    <w:rsid w:val="00C4746A"/>
    <w:rsid w:val="00C4750D"/>
    <w:rsid w:val="00C478B9"/>
    <w:rsid w:val="00C47BB7"/>
    <w:rsid w:val="00C47BED"/>
    <w:rsid w:val="00C47C74"/>
    <w:rsid w:val="00C47F01"/>
    <w:rsid w:val="00C500DB"/>
    <w:rsid w:val="00C50711"/>
    <w:rsid w:val="00C50CD9"/>
    <w:rsid w:val="00C50E6C"/>
    <w:rsid w:val="00C51007"/>
    <w:rsid w:val="00C51284"/>
    <w:rsid w:val="00C5128F"/>
    <w:rsid w:val="00C5145E"/>
    <w:rsid w:val="00C518B9"/>
    <w:rsid w:val="00C51A34"/>
    <w:rsid w:val="00C51AD0"/>
    <w:rsid w:val="00C521CB"/>
    <w:rsid w:val="00C523C6"/>
    <w:rsid w:val="00C52436"/>
    <w:rsid w:val="00C525BA"/>
    <w:rsid w:val="00C52662"/>
    <w:rsid w:val="00C52866"/>
    <w:rsid w:val="00C52901"/>
    <w:rsid w:val="00C52CD5"/>
    <w:rsid w:val="00C52E02"/>
    <w:rsid w:val="00C52E09"/>
    <w:rsid w:val="00C53065"/>
    <w:rsid w:val="00C5312E"/>
    <w:rsid w:val="00C531E5"/>
    <w:rsid w:val="00C532F9"/>
    <w:rsid w:val="00C54204"/>
    <w:rsid w:val="00C55300"/>
    <w:rsid w:val="00C555F2"/>
    <w:rsid w:val="00C555F7"/>
    <w:rsid w:val="00C559B6"/>
    <w:rsid w:val="00C55B9C"/>
    <w:rsid w:val="00C55C0F"/>
    <w:rsid w:val="00C55C51"/>
    <w:rsid w:val="00C55EF8"/>
    <w:rsid w:val="00C56446"/>
    <w:rsid w:val="00C56616"/>
    <w:rsid w:val="00C56C7F"/>
    <w:rsid w:val="00C56C81"/>
    <w:rsid w:val="00C56C91"/>
    <w:rsid w:val="00C56CA4"/>
    <w:rsid w:val="00C56D0B"/>
    <w:rsid w:val="00C57DAA"/>
    <w:rsid w:val="00C602DD"/>
    <w:rsid w:val="00C60456"/>
    <w:rsid w:val="00C60486"/>
    <w:rsid w:val="00C6057A"/>
    <w:rsid w:val="00C605EF"/>
    <w:rsid w:val="00C6061C"/>
    <w:rsid w:val="00C60863"/>
    <w:rsid w:val="00C609D3"/>
    <w:rsid w:val="00C6142B"/>
    <w:rsid w:val="00C61546"/>
    <w:rsid w:val="00C616A7"/>
    <w:rsid w:val="00C618AD"/>
    <w:rsid w:val="00C61963"/>
    <w:rsid w:val="00C61A49"/>
    <w:rsid w:val="00C61B2E"/>
    <w:rsid w:val="00C61CF6"/>
    <w:rsid w:val="00C61D39"/>
    <w:rsid w:val="00C6285D"/>
    <w:rsid w:val="00C629D4"/>
    <w:rsid w:val="00C629DA"/>
    <w:rsid w:val="00C62B38"/>
    <w:rsid w:val="00C62F51"/>
    <w:rsid w:val="00C63365"/>
    <w:rsid w:val="00C634EB"/>
    <w:rsid w:val="00C635CA"/>
    <w:rsid w:val="00C63891"/>
    <w:rsid w:val="00C63908"/>
    <w:rsid w:val="00C639E3"/>
    <w:rsid w:val="00C63EB1"/>
    <w:rsid w:val="00C640E3"/>
    <w:rsid w:val="00C64102"/>
    <w:rsid w:val="00C6413F"/>
    <w:rsid w:val="00C64291"/>
    <w:rsid w:val="00C64375"/>
    <w:rsid w:val="00C64750"/>
    <w:rsid w:val="00C64901"/>
    <w:rsid w:val="00C64AAE"/>
    <w:rsid w:val="00C64CCF"/>
    <w:rsid w:val="00C65096"/>
    <w:rsid w:val="00C65209"/>
    <w:rsid w:val="00C65F41"/>
    <w:rsid w:val="00C65FA7"/>
    <w:rsid w:val="00C66171"/>
    <w:rsid w:val="00C6667C"/>
    <w:rsid w:val="00C667DE"/>
    <w:rsid w:val="00C668EA"/>
    <w:rsid w:val="00C66B9F"/>
    <w:rsid w:val="00C66D5D"/>
    <w:rsid w:val="00C66F58"/>
    <w:rsid w:val="00C6712B"/>
    <w:rsid w:val="00C674BD"/>
    <w:rsid w:val="00C676A9"/>
    <w:rsid w:val="00C679D0"/>
    <w:rsid w:val="00C67F50"/>
    <w:rsid w:val="00C67FA3"/>
    <w:rsid w:val="00C703F0"/>
    <w:rsid w:val="00C70563"/>
    <w:rsid w:val="00C70593"/>
    <w:rsid w:val="00C705A1"/>
    <w:rsid w:val="00C705B2"/>
    <w:rsid w:val="00C7063D"/>
    <w:rsid w:val="00C70684"/>
    <w:rsid w:val="00C706C9"/>
    <w:rsid w:val="00C70AA1"/>
    <w:rsid w:val="00C71292"/>
    <w:rsid w:val="00C71434"/>
    <w:rsid w:val="00C71484"/>
    <w:rsid w:val="00C7163D"/>
    <w:rsid w:val="00C716CA"/>
    <w:rsid w:val="00C71B64"/>
    <w:rsid w:val="00C71C97"/>
    <w:rsid w:val="00C720E2"/>
    <w:rsid w:val="00C72305"/>
    <w:rsid w:val="00C725C9"/>
    <w:rsid w:val="00C725E9"/>
    <w:rsid w:val="00C72870"/>
    <w:rsid w:val="00C72BA0"/>
    <w:rsid w:val="00C72F02"/>
    <w:rsid w:val="00C735A7"/>
    <w:rsid w:val="00C7362A"/>
    <w:rsid w:val="00C7392F"/>
    <w:rsid w:val="00C73C3C"/>
    <w:rsid w:val="00C73F33"/>
    <w:rsid w:val="00C742A3"/>
    <w:rsid w:val="00C7439E"/>
    <w:rsid w:val="00C74A2C"/>
    <w:rsid w:val="00C74AB0"/>
    <w:rsid w:val="00C74CBA"/>
    <w:rsid w:val="00C74D20"/>
    <w:rsid w:val="00C74D49"/>
    <w:rsid w:val="00C74EDA"/>
    <w:rsid w:val="00C751C6"/>
    <w:rsid w:val="00C75296"/>
    <w:rsid w:val="00C752C3"/>
    <w:rsid w:val="00C753A5"/>
    <w:rsid w:val="00C75E18"/>
    <w:rsid w:val="00C7600F"/>
    <w:rsid w:val="00C764E6"/>
    <w:rsid w:val="00C767CC"/>
    <w:rsid w:val="00C76956"/>
    <w:rsid w:val="00C76FAC"/>
    <w:rsid w:val="00C7724E"/>
    <w:rsid w:val="00C7732F"/>
    <w:rsid w:val="00C776CD"/>
    <w:rsid w:val="00C77A33"/>
    <w:rsid w:val="00C77C6E"/>
    <w:rsid w:val="00C80112"/>
    <w:rsid w:val="00C80581"/>
    <w:rsid w:val="00C80B13"/>
    <w:rsid w:val="00C80B9F"/>
    <w:rsid w:val="00C80D0E"/>
    <w:rsid w:val="00C812AC"/>
    <w:rsid w:val="00C81620"/>
    <w:rsid w:val="00C81F04"/>
    <w:rsid w:val="00C8226C"/>
    <w:rsid w:val="00C8231A"/>
    <w:rsid w:val="00C8235E"/>
    <w:rsid w:val="00C82543"/>
    <w:rsid w:val="00C82598"/>
    <w:rsid w:val="00C825CA"/>
    <w:rsid w:val="00C827AA"/>
    <w:rsid w:val="00C82928"/>
    <w:rsid w:val="00C82E88"/>
    <w:rsid w:val="00C83028"/>
    <w:rsid w:val="00C832DB"/>
    <w:rsid w:val="00C834F2"/>
    <w:rsid w:val="00C8369F"/>
    <w:rsid w:val="00C83A0C"/>
    <w:rsid w:val="00C83BDE"/>
    <w:rsid w:val="00C8446B"/>
    <w:rsid w:val="00C84753"/>
    <w:rsid w:val="00C84CED"/>
    <w:rsid w:val="00C84D06"/>
    <w:rsid w:val="00C8566F"/>
    <w:rsid w:val="00C8573A"/>
    <w:rsid w:val="00C859AE"/>
    <w:rsid w:val="00C85A54"/>
    <w:rsid w:val="00C85E9B"/>
    <w:rsid w:val="00C85EFF"/>
    <w:rsid w:val="00C860EB"/>
    <w:rsid w:val="00C8612D"/>
    <w:rsid w:val="00C86276"/>
    <w:rsid w:val="00C866EF"/>
    <w:rsid w:val="00C86E7E"/>
    <w:rsid w:val="00C86F18"/>
    <w:rsid w:val="00C86FE5"/>
    <w:rsid w:val="00C87059"/>
    <w:rsid w:val="00C8795B"/>
    <w:rsid w:val="00C87C43"/>
    <w:rsid w:val="00C87D7A"/>
    <w:rsid w:val="00C87E10"/>
    <w:rsid w:val="00C87E61"/>
    <w:rsid w:val="00C9016F"/>
    <w:rsid w:val="00C9022C"/>
    <w:rsid w:val="00C90326"/>
    <w:rsid w:val="00C9044F"/>
    <w:rsid w:val="00C90C16"/>
    <w:rsid w:val="00C90E97"/>
    <w:rsid w:val="00C910C0"/>
    <w:rsid w:val="00C91118"/>
    <w:rsid w:val="00C912BC"/>
    <w:rsid w:val="00C91C94"/>
    <w:rsid w:val="00C91D70"/>
    <w:rsid w:val="00C92112"/>
    <w:rsid w:val="00C921B2"/>
    <w:rsid w:val="00C921FC"/>
    <w:rsid w:val="00C92D67"/>
    <w:rsid w:val="00C92ED4"/>
    <w:rsid w:val="00C92F21"/>
    <w:rsid w:val="00C93020"/>
    <w:rsid w:val="00C9336A"/>
    <w:rsid w:val="00C9369B"/>
    <w:rsid w:val="00C939CA"/>
    <w:rsid w:val="00C93AE4"/>
    <w:rsid w:val="00C93B0E"/>
    <w:rsid w:val="00C93BE7"/>
    <w:rsid w:val="00C93C79"/>
    <w:rsid w:val="00C93F1E"/>
    <w:rsid w:val="00C9414C"/>
    <w:rsid w:val="00C94372"/>
    <w:rsid w:val="00C9497F"/>
    <w:rsid w:val="00C94FB9"/>
    <w:rsid w:val="00C951BC"/>
    <w:rsid w:val="00C95299"/>
    <w:rsid w:val="00C953CF"/>
    <w:rsid w:val="00C95426"/>
    <w:rsid w:val="00C95843"/>
    <w:rsid w:val="00C95B03"/>
    <w:rsid w:val="00C95CD0"/>
    <w:rsid w:val="00C95E6A"/>
    <w:rsid w:val="00C95EC9"/>
    <w:rsid w:val="00C95FF4"/>
    <w:rsid w:val="00C961BE"/>
    <w:rsid w:val="00C9671A"/>
    <w:rsid w:val="00C967A0"/>
    <w:rsid w:val="00C96851"/>
    <w:rsid w:val="00C9699B"/>
    <w:rsid w:val="00C96A1C"/>
    <w:rsid w:val="00C9722E"/>
    <w:rsid w:val="00C979D0"/>
    <w:rsid w:val="00C97BD3"/>
    <w:rsid w:val="00CA041C"/>
    <w:rsid w:val="00CA0677"/>
    <w:rsid w:val="00CA08CA"/>
    <w:rsid w:val="00CA0FEE"/>
    <w:rsid w:val="00CA1455"/>
    <w:rsid w:val="00CA20A6"/>
    <w:rsid w:val="00CA2586"/>
    <w:rsid w:val="00CA25A9"/>
    <w:rsid w:val="00CA2916"/>
    <w:rsid w:val="00CA2D12"/>
    <w:rsid w:val="00CA2E3D"/>
    <w:rsid w:val="00CA2E59"/>
    <w:rsid w:val="00CA2F0F"/>
    <w:rsid w:val="00CA37C9"/>
    <w:rsid w:val="00CA38B2"/>
    <w:rsid w:val="00CA39A4"/>
    <w:rsid w:val="00CA4036"/>
    <w:rsid w:val="00CA410E"/>
    <w:rsid w:val="00CA447E"/>
    <w:rsid w:val="00CA473E"/>
    <w:rsid w:val="00CA4AEB"/>
    <w:rsid w:val="00CA4E23"/>
    <w:rsid w:val="00CA4E5E"/>
    <w:rsid w:val="00CA5651"/>
    <w:rsid w:val="00CA5769"/>
    <w:rsid w:val="00CA5835"/>
    <w:rsid w:val="00CA5E43"/>
    <w:rsid w:val="00CA5E94"/>
    <w:rsid w:val="00CA5F8C"/>
    <w:rsid w:val="00CA60B5"/>
    <w:rsid w:val="00CA66ED"/>
    <w:rsid w:val="00CA6977"/>
    <w:rsid w:val="00CA6B43"/>
    <w:rsid w:val="00CA7030"/>
    <w:rsid w:val="00CA7067"/>
    <w:rsid w:val="00CA74AB"/>
    <w:rsid w:val="00CA7547"/>
    <w:rsid w:val="00CA7649"/>
    <w:rsid w:val="00CA78AD"/>
    <w:rsid w:val="00CA7B6F"/>
    <w:rsid w:val="00CB0207"/>
    <w:rsid w:val="00CB0272"/>
    <w:rsid w:val="00CB05DF"/>
    <w:rsid w:val="00CB0823"/>
    <w:rsid w:val="00CB0824"/>
    <w:rsid w:val="00CB0A05"/>
    <w:rsid w:val="00CB0CDF"/>
    <w:rsid w:val="00CB0D15"/>
    <w:rsid w:val="00CB0D90"/>
    <w:rsid w:val="00CB0F78"/>
    <w:rsid w:val="00CB0FE2"/>
    <w:rsid w:val="00CB0FE7"/>
    <w:rsid w:val="00CB135E"/>
    <w:rsid w:val="00CB1879"/>
    <w:rsid w:val="00CB1B64"/>
    <w:rsid w:val="00CB1DDE"/>
    <w:rsid w:val="00CB20D7"/>
    <w:rsid w:val="00CB210A"/>
    <w:rsid w:val="00CB21D3"/>
    <w:rsid w:val="00CB2273"/>
    <w:rsid w:val="00CB233D"/>
    <w:rsid w:val="00CB2736"/>
    <w:rsid w:val="00CB27FD"/>
    <w:rsid w:val="00CB2B2F"/>
    <w:rsid w:val="00CB2B64"/>
    <w:rsid w:val="00CB2D41"/>
    <w:rsid w:val="00CB3324"/>
    <w:rsid w:val="00CB35FC"/>
    <w:rsid w:val="00CB3A97"/>
    <w:rsid w:val="00CB3BFA"/>
    <w:rsid w:val="00CB3D27"/>
    <w:rsid w:val="00CB3F10"/>
    <w:rsid w:val="00CB4196"/>
    <w:rsid w:val="00CB4374"/>
    <w:rsid w:val="00CB437F"/>
    <w:rsid w:val="00CB43F3"/>
    <w:rsid w:val="00CB46AA"/>
    <w:rsid w:val="00CB4C58"/>
    <w:rsid w:val="00CB4F8B"/>
    <w:rsid w:val="00CB5079"/>
    <w:rsid w:val="00CB528D"/>
    <w:rsid w:val="00CB5783"/>
    <w:rsid w:val="00CB58C5"/>
    <w:rsid w:val="00CB5989"/>
    <w:rsid w:val="00CB5B13"/>
    <w:rsid w:val="00CB5E0F"/>
    <w:rsid w:val="00CB5E2B"/>
    <w:rsid w:val="00CB5F27"/>
    <w:rsid w:val="00CB6247"/>
    <w:rsid w:val="00CB635C"/>
    <w:rsid w:val="00CB63CA"/>
    <w:rsid w:val="00CB674C"/>
    <w:rsid w:val="00CB680A"/>
    <w:rsid w:val="00CB68F1"/>
    <w:rsid w:val="00CB7321"/>
    <w:rsid w:val="00CB79B2"/>
    <w:rsid w:val="00CB79DA"/>
    <w:rsid w:val="00CB7ACB"/>
    <w:rsid w:val="00CB7AD3"/>
    <w:rsid w:val="00CB7E0A"/>
    <w:rsid w:val="00CC002B"/>
    <w:rsid w:val="00CC0280"/>
    <w:rsid w:val="00CC0580"/>
    <w:rsid w:val="00CC06CD"/>
    <w:rsid w:val="00CC078D"/>
    <w:rsid w:val="00CC0ACE"/>
    <w:rsid w:val="00CC12D4"/>
    <w:rsid w:val="00CC1809"/>
    <w:rsid w:val="00CC18F2"/>
    <w:rsid w:val="00CC1C6A"/>
    <w:rsid w:val="00CC1CB4"/>
    <w:rsid w:val="00CC1DC2"/>
    <w:rsid w:val="00CC20F1"/>
    <w:rsid w:val="00CC21B3"/>
    <w:rsid w:val="00CC223B"/>
    <w:rsid w:val="00CC23D5"/>
    <w:rsid w:val="00CC2639"/>
    <w:rsid w:val="00CC26BE"/>
    <w:rsid w:val="00CC26CA"/>
    <w:rsid w:val="00CC27BD"/>
    <w:rsid w:val="00CC285F"/>
    <w:rsid w:val="00CC2921"/>
    <w:rsid w:val="00CC2B46"/>
    <w:rsid w:val="00CC2BA5"/>
    <w:rsid w:val="00CC2BC9"/>
    <w:rsid w:val="00CC2C0D"/>
    <w:rsid w:val="00CC2D6D"/>
    <w:rsid w:val="00CC3027"/>
    <w:rsid w:val="00CC3281"/>
    <w:rsid w:val="00CC365A"/>
    <w:rsid w:val="00CC3772"/>
    <w:rsid w:val="00CC382F"/>
    <w:rsid w:val="00CC390D"/>
    <w:rsid w:val="00CC3B23"/>
    <w:rsid w:val="00CC3D47"/>
    <w:rsid w:val="00CC3E96"/>
    <w:rsid w:val="00CC421B"/>
    <w:rsid w:val="00CC43FF"/>
    <w:rsid w:val="00CC4686"/>
    <w:rsid w:val="00CC4754"/>
    <w:rsid w:val="00CC496D"/>
    <w:rsid w:val="00CC4B0D"/>
    <w:rsid w:val="00CC4B64"/>
    <w:rsid w:val="00CC4CE0"/>
    <w:rsid w:val="00CC50A7"/>
    <w:rsid w:val="00CC5155"/>
    <w:rsid w:val="00CC523A"/>
    <w:rsid w:val="00CC5252"/>
    <w:rsid w:val="00CC5474"/>
    <w:rsid w:val="00CC55F3"/>
    <w:rsid w:val="00CC5650"/>
    <w:rsid w:val="00CC56E2"/>
    <w:rsid w:val="00CC5741"/>
    <w:rsid w:val="00CC59B7"/>
    <w:rsid w:val="00CC5B49"/>
    <w:rsid w:val="00CC5F9D"/>
    <w:rsid w:val="00CC6380"/>
    <w:rsid w:val="00CC649E"/>
    <w:rsid w:val="00CC704E"/>
    <w:rsid w:val="00CC70AF"/>
    <w:rsid w:val="00CC71BF"/>
    <w:rsid w:val="00CC71D5"/>
    <w:rsid w:val="00CC7324"/>
    <w:rsid w:val="00CC7439"/>
    <w:rsid w:val="00CC7521"/>
    <w:rsid w:val="00CC75B0"/>
    <w:rsid w:val="00CC760B"/>
    <w:rsid w:val="00CC7618"/>
    <w:rsid w:val="00CC7777"/>
    <w:rsid w:val="00CC7A33"/>
    <w:rsid w:val="00CC7B11"/>
    <w:rsid w:val="00CC7BCF"/>
    <w:rsid w:val="00CC7E3D"/>
    <w:rsid w:val="00CD00B6"/>
    <w:rsid w:val="00CD0174"/>
    <w:rsid w:val="00CD04C2"/>
    <w:rsid w:val="00CD04D3"/>
    <w:rsid w:val="00CD07F5"/>
    <w:rsid w:val="00CD0809"/>
    <w:rsid w:val="00CD0913"/>
    <w:rsid w:val="00CD0966"/>
    <w:rsid w:val="00CD09E9"/>
    <w:rsid w:val="00CD140E"/>
    <w:rsid w:val="00CD15D9"/>
    <w:rsid w:val="00CD16D3"/>
    <w:rsid w:val="00CD1A3D"/>
    <w:rsid w:val="00CD1BC6"/>
    <w:rsid w:val="00CD1D61"/>
    <w:rsid w:val="00CD2434"/>
    <w:rsid w:val="00CD248A"/>
    <w:rsid w:val="00CD24CE"/>
    <w:rsid w:val="00CD27EE"/>
    <w:rsid w:val="00CD280A"/>
    <w:rsid w:val="00CD28DC"/>
    <w:rsid w:val="00CD28E7"/>
    <w:rsid w:val="00CD2DCB"/>
    <w:rsid w:val="00CD2F30"/>
    <w:rsid w:val="00CD3138"/>
    <w:rsid w:val="00CD3534"/>
    <w:rsid w:val="00CD35DA"/>
    <w:rsid w:val="00CD37AE"/>
    <w:rsid w:val="00CD38F8"/>
    <w:rsid w:val="00CD3FD8"/>
    <w:rsid w:val="00CD4043"/>
    <w:rsid w:val="00CD4299"/>
    <w:rsid w:val="00CD46E4"/>
    <w:rsid w:val="00CD4A1A"/>
    <w:rsid w:val="00CD4B5E"/>
    <w:rsid w:val="00CD4C9D"/>
    <w:rsid w:val="00CD4D4A"/>
    <w:rsid w:val="00CD5771"/>
    <w:rsid w:val="00CD5B44"/>
    <w:rsid w:val="00CD5C3A"/>
    <w:rsid w:val="00CD61BC"/>
    <w:rsid w:val="00CD63F0"/>
    <w:rsid w:val="00CD6A29"/>
    <w:rsid w:val="00CD6A7F"/>
    <w:rsid w:val="00CD72DC"/>
    <w:rsid w:val="00CD73CF"/>
    <w:rsid w:val="00CD7AC7"/>
    <w:rsid w:val="00CD7DC9"/>
    <w:rsid w:val="00CE0245"/>
    <w:rsid w:val="00CE02CB"/>
    <w:rsid w:val="00CE05A4"/>
    <w:rsid w:val="00CE05C3"/>
    <w:rsid w:val="00CE08AD"/>
    <w:rsid w:val="00CE0A76"/>
    <w:rsid w:val="00CE10BD"/>
    <w:rsid w:val="00CE1318"/>
    <w:rsid w:val="00CE1670"/>
    <w:rsid w:val="00CE16E3"/>
    <w:rsid w:val="00CE1BD7"/>
    <w:rsid w:val="00CE1F17"/>
    <w:rsid w:val="00CE2044"/>
    <w:rsid w:val="00CE2AAA"/>
    <w:rsid w:val="00CE2DBF"/>
    <w:rsid w:val="00CE2EDD"/>
    <w:rsid w:val="00CE2F80"/>
    <w:rsid w:val="00CE307A"/>
    <w:rsid w:val="00CE309A"/>
    <w:rsid w:val="00CE31B1"/>
    <w:rsid w:val="00CE334E"/>
    <w:rsid w:val="00CE3640"/>
    <w:rsid w:val="00CE398D"/>
    <w:rsid w:val="00CE3E02"/>
    <w:rsid w:val="00CE3F5F"/>
    <w:rsid w:val="00CE4425"/>
    <w:rsid w:val="00CE450C"/>
    <w:rsid w:val="00CE4535"/>
    <w:rsid w:val="00CE458B"/>
    <w:rsid w:val="00CE46BF"/>
    <w:rsid w:val="00CE4BC7"/>
    <w:rsid w:val="00CE4CDF"/>
    <w:rsid w:val="00CE4D2E"/>
    <w:rsid w:val="00CE5056"/>
    <w:rsid w:val="00CE525B"/>
    <w:rsid w:val="00CE558E"/>
    <w:rsid w:val="00CE59A8"/>
    <w:rsid w:val="00CE5A4A"/>
    <w:rsid w:val="00CE6E56"/>
    <w:rsid w:val="00CE75B6"/>
    <w:rsid w:val="00CE7822"/>
    <w:rsid w:val="00CE7880"/>
    <w:rsid w:val="00CE7B5B"/>
    <w:rsid w:val="00CE7C83"/>
    <w:rsid w:val="00CE7F13"/>
    <w:rsid w:val="00CF0395"/>
    <w:rsid w:val="00CF043D"/>
    <w:rsid w:val="00CF0464"/>
    <w:rsid w:val="00CF05A0"/>
    <w:rsid w:val="00CF05D5"/>
    <w:rsid w:val="00CF072C"/>
    <w:rsid w:val="00CF07C5"/>
    <w:rsid w:val="00CF091C"/>
    <w:rsid w:val="00CF0C25"/>
    <w:rsid w:val="00CF0E48"/>
    <w:rsid w:val="00CF0E92"/>
    <w:rsid w:val="00CF1107"/>
    <w:rsid w:val="00CF1736"/>
    <w:rsid w:val="00CF193A"/>
    <w:rsid w:val="00CF1973"/>
    <w:rsid w:val="00CF1F41"/>
    <w:rsid w:val="00CF1FD1"/>
    <w:rsid w:val="00CF2503"/>
    <w:rsid w:val="00CF26BF"/>
    <w:rsid w:val="00CF291A"/>
    <w:rsid w:val="00CF2B5C"/>
    <w:rsid w:val="00CF2E39"/>
    <w:rsid w:val="00CF2EEE"/>
    <w:rsid w:val="00CF320E"/>
    <w:rsid w:val="00CF3371"/>
    <w:rsid w:val="00CF344A"/>
    <w:rsid w:val="00CF383E"/>
    <w:rsid w:val="00CF3878"/>
    <w:rsid w:val="00CF389D"/>
    <w:rsid w:val="00CF3B28"/>
    <w:rsid w:val="00CF3D76"/>
    <w:rsid w:val="00CF3FB2"/>
    <w:rsid w:val="00CF439B"/>
    <w:rsid w:val="00CF48DA"/>
    <w:rsid w:val="00CF501D"/>
    <w:rsid w:val="00CF5085"/>
    <w:rsid w:val="00CF53FA"/>
    <w:rsid w:val="00CF5476"/>
    <w:rsid w:val="00CF5823"/>
    <w:rsid w:val="00CF5B51"/>
    <w:rsid w:val="00CF5D03"/>
    <w:rsid w:val="00CF5DDD"/>
    <w:rsid w:val="00CF5F75"/>
    <w:rsid w:val="00CF66A7"/>
    <w:rsid w:val="00CF67F3"/>
    <w:rsid w:val="00CF70C7"/>
    <w:rsid w:val="00CF7166"/>
    <w:rsid w:val="00CF717C"/>
    <w:rsid w:val="00CF79FD"/>
    <w:rsid w:val="00CF7C9A"/>
    <w:rsid w:val="00D003B2"/>
    <w:rsid w:val="00D004BE"/>
    <w:rsid w:val="00D0080A"/>
    <w:rsid w:val="00D00852"/>
    <w:rsid w:val="00D008F6"/>
    <w:rsid w:val="00D00D8D"/>
    <w:rsid w:val="00D00DBC"/>
    <w:rsid w:val="00D00DD4"/>
    <w:rsid w:val="00D014B5"/>
    <w:rsid w:val="00D01542"/>
    <w:rsid w:val="00D01594"/>
    <w:rsid w:val="00D01664"/>
    <w:rsid w:val="00D0181B"/>
    <w:rsid w:val="00D01820"/>
    <w:rsid w:val="00D01AFF"/>
    <w:rsid w:val="00D01C8E"/>
    <w:rsid w:val="00D01DC5"/>
    <w:rsid w:val="00D01F5E"/>
    <w:rsid w:val="00D01FDE"/>
    <w:rsid w:val="00D02658"/>
    <w:rsid w:val="00D02ACB"/>
    <w:rsid w:val="00D02FBD"/>
    <w:rsid w:val="00D033E5"/>
    <w:rsid w:val="00D0340A"/>
    <w:rsid w:val="00D03494"/>
    <w:rsid w:val="00D03586"/>
    <w:rsid w:val="00D03B20"/>
    <w:rsid w:val="00D03B28"/>
    <w:rsid w:val="00D040FF"/>
    <w:rsid w:val="00D04337"/>
    <w:rsid w:val="00D0448D"/>
    <w:rsid w:val="00D04711"/>
    <w:rsid w:val="00D04CE4"/>
    <w:rsid w:val="00D05442"/>
    <w:rsid w:val="00D05726"/>
    <w:rsid w:val="00D05D5B"/>
    <w:rsid w:val="00D06459"/>
    <w:rsid w:val="00D06653"/>
    <w:rsid w:val="00D075C6"/>
    <w:rsid w:val="00D07C3B"/>
    <w:rsid w:val="00D07D6F"/>
    <w:rsid w:val="00D07E12"/>
    <w:rsid w:val="00D07E2D"/>
    <w:rsid w:val="00D07F6E"/>
    <w:rsid w:val="00D10D07"/>
    <w:rsid w:val="00D10D3E"/>
    <w:rsid w:val="00D11694"/>
    <w:rsid w:val="00D117BA"/>
    <w:rsid w:val="00D11AE7"/>
    <w:rsid w:val="00D11BFF"/>
    <w:rsid w:val="00D11D65"/>
    <w:rsid w:val="00D11F8D"/>
    <w:rsid w:val="00D122DF"/>
    <w:rsid w:val="00D122E6"/>
    <w:rsid w:val="00D124A8"/>
    <w:rsid w:val="00D12698"/>
    <w:rsid w:val="00D129EA"/>
    <w:rsid w:val="00D12AB3"/>
    <w:rsid w:val="00D12AF5"/>
    <w:rsid w:val="00D12E85"/>
    <w:rsid w:val="00D12EAD"/>
    <w:rsid w:val="00D130B2"/>
    <w:rsid w:val="00D13189"/>
    <w:rsid w:val="00D1375A"/>
    <w:rsid w:val="00D13A59"/>
    <w:rsid w:val="00D13F9D"/>
    <w:rsid w:val="00D13FCC"/>
    <w:rsid w:val="00D1414B"/>
    <w:rsid w:val="00D14156"/>
    <w:rsid w:val="00D144E9"/>
    <w:rsid w:val="00D145A1"/>
    <w:rsid w:val="00D145C9"/>
    <w:rsid w:val="00D14946"/>
    <w:rsid w:val="00D1499E"/>
    <w:rsid w:val="00D14C94"/>
    <w:rsid w:val="00D14E6E"/>
    <w:rsid w:val="00D14FB9"/>
    <w:rsid w:val="00D1546A"/>
    <w:rsid w:val="00D154A3"/>
    <w:rsid w:val="00D1561D"/>
    <w:rsid w:val="00D157A9"/>
    <w:rsid w:val="00D15A41"/>
    <w:rsid w:val="00D15EA4"/>
    <w:rsid w:val="00D16994"/>
    <w:rsid w:val="00D16BA6"/>
    <w:rsid w:val="00D16BD1"/>
    <w:rsid w:val="00D16E4D"/>
    <w:rsid w:val="00D16FB7"/>
    <w:rsid w:val="00D1782B"/>
    <w:rsid w:val="00D17883"/>
    <w:rsid w:val="00D17944"/>
    <w:rsid w:val="00D1799E"/>
    <w:rsid w:val="00D17C77"/>
    <w:rsid w:val="00D17D21"/>
    <w:rsid w:val="00D204B9"/>
    <w:rsid w:val="00D2099B"/>
    <w:rsid w:val="00D20A48"/>
    <w:rsid w:val="00D20C15"/>
    <w:rsid w:val="00D20C50"/>
    <w:rsid w:val="00D20C61"/>
    <w:rsid w:val="00D20D82"/>
    <w:rsid w:val="00D213E9"/>
    <w:rsid w:val="00D2146E"/>
    <w:rsid w:val="00D215E4"/>
    <w:rsid w:val="00D21669"/>
    <w:rsid w:val="00D216F5"/>
    <w:rsid w:val="00D21755"/>
    <w:rsid w:val="00D21A86"/>
    <w:rsid w:val="00D21B20"/>
    <w:rsid w:val="00D21C3B"/>
    <w:rsid w:val="00D21D99"/>
    <w:rsid w:val="00D21DBD"/>
    <w:rsid w:val="00D21F79"/>
    <w:rsid w:val="00D22076"/>
    <w:rsid w:val="00D220DC"/>
    <w:rsid w:val="00D223DC"/>
    <w:rsid w:val="00D224B7"/>
    <w:rsid w:val="00D226E3"/>
    <w:rsid w:val="00D22ADE"/>
    <w:rsid w:val="00D235B1"/>
    <w:rsid w:val="00D235CE"/>
    <w:rsid w:val="00D236B6"/>
    <w:rsid w:val="00D23709"/>
    <w:rsid w:val="00D238E6"/>
    <w:rsid w:val="00D23D2F"/>
    <w:rsid w:val="00D23D9A"/>
    <w:rsid w:val="00D23F5B"/>
    <w:rsid w:val="00D23FAD"/>
    <w:rsid w:val="00D24015"/>
    <w:rsid w:val="00D2452E"/>
    <w:rsid w:val="00D24589"/>
    <w:rsid w:val="00D24B3F"/>
    <w:rsid w:val="00D24B5B"/>
    <w:rsid w:val="00D24C0F"/>
    <w:rsid w:val="00D24CD7"/>
    <w:rsid w:val="00D24EFC"/>
    <w:rsid w:val="00D250E5"/>
    <w:rsid w:val="00D250F5"/>
    <w:rsid w:val="00D253DF"/>
    <w:rsid w:val="00D25465"/>
    <w:rsid w:val="00D2565C"/>
    <w:rsid w:val="00D256D8"/>
    <w:rsid w:val="00D25AA6"/>
    <w:rsid w:val="00D25BF2"/>
    <w:rsid w:val="00D25CBD"/>
    <w:rsid w:val="00D26121"/>
    <w:rsid w:val="00D2640E"/>
    <w:rsid w:val="00D26A4E"/>
    <w:rsid w:val="00D26BE5"/>
    <w:rsid w:val="00D26D4A"/>
    <w:rsid w:val="00D26F5D"/>
    <w:rsid w:val="00D26FE1"/>
    <w:rsid w:val="00D2723F"/>
    <w:rsid w:val="00D276B9"/>
    <w:rsid w:val="00D27D4A"/>
    <w:rsid w:val="00D300A6"/>
    <w:rsid w:val="00D30237"/>
    <w:rsid w:val="00D30664"/>
    <w:rsid w:val="00D30991"/>
    <w:rsid w:val="00D30E72"/>
    <w:rsid w:val="00D30F36"/>
    <w:rsid w:val="00D30FE7"/>
    <w:rsid w:val="00D310DA"/>
    <w:rsid w:val="00D3129F"/>
    <w:rsid w:val="00D314E5"/>
    <w:rsid w:val="00D3151D"/>
    <w:rsid w:val="00D31610"/>
    <w:rsid w:val="00D31630"/>
    <w:rsid w:val="00D317CE"/>
    <w:rsid w:val="00D31AAA"/>
    <w:rsid w:val="00D31B1F"/>
    <w:rsid w:val="00D31C14"/>
    <w:rsid w:val="00D31E4B"/>
    <w:rsid w:val="00D31E62"/>
    <w:rsid w:val="00D32064"/>
    <w:rsid w:val="00D32D76"/>
    <w:rsid w:val="00D32D90"/>
    <w:rsid w:val="00D32E27"/>
    <w:rsid w:val="00D330AB"/>
    <w:rsid w:val="00D330BC"/>
    <w:rsid w:val="00D33238"/>
    <w:rsid w:val="00D3342B"/>
    <w:rsid w:val="00D334F6"/>
    <w:rsid w:val="00D335B8"/>
    <w:rsid w:val="00D335D7"/>
    <w:rsid w:val="00D3368A"/>
    <w:rsid w:val="00D337E4"/>
    <w:rsid w:val="00D337F1"/>
    <w:rsid w:val="00D33817"/>
    <w:rsid w:val="00D3384B"/>
    <w:rsid w:val="00D33937"/>
    <w:rsid w:val="00D33B6C"/>
    <w:rsid w:val="00D34245"/>
    <w:rsid w:val="00D3454C"/>
    <w:rsid w:val="00D3479D"/>
    <w:rsid w:val="00D348CE"/>
    <w:rsid w:val="00D35452"/>
    <w:rsid w:val="00D35486"/>
    <w:rsid w:val="00D356F7"/>
    <w:rsid w:val="00D35838"/>
    <w:rsid w:val="00D35E11"/>
    <w:rsid w:val="00D3603B"/>
    <w:rsid w:val="00D360B5"/>
    <w:rsid w:val="00D365CF"/>
    <w:rsid w:val="00D36601"/>
    <w:rsid w:val="00D3671F"/>
    <w:rsid w:val="00D36809"/>
    <w:rsid w:val="00D3693F"/>
    <w:rsid w:val="00D36C9E"/>
    <w:rsid w:val="00D37317"/>
    <w:rsid w:val="00D373B7"/>
    <w:rsid w:val="00D37436"/>
    <w:rsid w:val="00D37622"/>
    <w:rsid w:val="00D376ED"/>
    <w:rsid w:val="00D37813"/>
    <w:rsid w:val="00D37F45"/>
    <w:rsid w:val="00D401A7"/>
    <w:rsid w:val="00D401EF"/>
    <w:rsid w:val="00D402B1"/>
    <w:rsid w:val="00D40356"/>
    <w:rsid w:val="00D404B5"/>
    <w:rsid w:val="00D406E1"/>
    <w:rsid w:val="00D40A6A"/>
    <w:rsid w:val="00D40F49"/>
    <w:rsid w:val="00D4105E"/>
    <w:rsid w:val="00D41243"/>
    <w:rsid w:val="00D41294"/>
    <w:rsid w:val="00D415D9"/>
    <w:rsid w:val="00D417EC"/>
    <w:rsid w:val="00D41814"/>
    <w:rsid w:val="00D41976"/>
    <w:rsid w:val="00D41A0B"/>
    <w:rsid w:val="00D41E81"/>
    <w:rsid w:val="00D41FE1"/>
    <w:rsid w:val="00D42299"/>
    <w:rsid w:val="00D42803"/>
    <w:rsid w:val="00D42AA2"/>
    <w:rsid w:val="00D42E24"/>
    <w:rsid w:val="00D430F7"/>
    <w:rsid w:val="00D433C9"/>
    <w:rsid w:val="00D433D9"/>
    <w:rsid w:val="00D434DD"/>
    <w:rsid w:val="00D43592"/>
    <w:rsid w:val="00D43AF4"/>
    <w:rsid w:val="00D43BCB"/>
    <w:rsid w:val="00D43C8D"/>
    <w:rsid w:val="00D443A2"/>
    <w:rsid w:val="00D4464F"/>
    <w:rsid w:val="00D4484B"/>
    <w:rsid w:val="00D449CC"/>
    <w:rsid w:val="00D44A44"/>
    <w:rsid w:val="00D44FCC"/>
    <w:rsid w:val="00D452CA"/>
    <w:rsid w:val="00D452EE"/>
    <w:rsid w:val="00D454D9"/>
    <w:rsid w:val="00D45C3C"/>
    <w:rsid w:val="00D45DF0"/>
    <w:rsid w:val="00D46107"/>
    <w:rsid w:val="00D461C0"/>
    <w:rsid w:val="00D4622D"/>
    <w:rsid w:val="00D4628C"/>
    <w:rsid w:val="00D466CE"/>
    <w:rsid w:val="00D46B31"/>
    <w:rsid w:val="00D470DF"/>
    <w:rsid w:val="00D47779"/>
    <w:rsid w:val="00D47830"/>
    <w:rsid w:val="00D4787A"/>
    <w:rsid w:val="00D47981"/>
    <w:rsid w:val="00D47A04"/>
    <w:rsid w:val="00D47C26"/>
    <w:rsid w:val="00D47EFF"/>
    <w:rsid w:val="00D503E8"/>
    <w:rsid w:val="00D5047A"/>
    <w:rsid w:val="00D5055F"/>
    <w:rsid w:val="00D505D2"/>
    <w:rsid w:val="00D506CB"/>
    <w:rsid w:val="00D50704"/>
    <w:rsid w:val="00D50812"/>
    <w:rsid w:val="00D50854"/>
    <w:rsid w:val="00D50899"/>
    <w:rsid w:val="00D50CE6"/>
    <w:rsid w:val="00D50EF8"/>
    <w:rsid w:val="00D5144C"/>
    <w:rsid w:val="00D51529"/>
    <w:rsid w:val="00D5156A"/>
    <w:rsid w:val="00D516EF"/>
    <w:rsid w:val="00D51744"/>
    <w:rsid w:val="00D5178D"/>
    <w:rsid w:val="00D51E09"/>
    <w:rsid w:val="00D52127"/>
    <w:rsid w:val="00D523AC"/>
    <w:rsid w:val="00D52497"/>
    <w:rsid w:val="00D52953"/>
    <w:rsid w:val="00D52AF1"/>
    <w:rsid w:val="00D52DE5"/>
    <w:rsid w:val="00D52EC9"/>
    <w:rsid w:val="00D530C5"/>
    <w:rsid w:val="00D53360"/>
    <w:rsid w:val="00D54066"/>
    <w:rsid w:val="00D54098"/>
    <w:rsid w:val="00D54158"/>
    <w:rsid w:val="00D54161"/>
    <w:rsid w:val="00D5464A"/>
    <w:rsid w:val="00D547D1"/>
    <w:rsid w:val="00D54D05"/>
    <w:rsid w:val="00D54E48"/>
    <w:rsid w:val="00D55290"/>
    <w:rsid w:val="00D55770"/>
    <w:rsid w:val="00D55C0E"/>
    <w:rsid w:val="00D55CE0"/>
    <w:rsid w:val="00D55FFE"/>
    <w:rsid w:val="00D561AA"/>
    <w:rsid w:val="00D563A3"/>
    <w:rsid w:val="00D56416"/>
    <w:rsid w:val="00D5664C"/>
    <w:rsid w:val="00D5688B"/>
    <w:rsid w:val="00D568E8"/>
    <w:rsid w:val="00D56981"/>
    <w:rsid w:val="00D56C7A"/>
    <w:rsid w:val="00D57124"/>
    <w:rsid w:val="00D5726F"/>
    <w:rsid w:val="00D573D7"/>
    <w:rsid w:val="00D5766A"/>
    <w:rsid w:val="00D57CC0"/>
    <w:rsid w:val="00D57DD7"/>
    <w:rsid w:val="00D57F27"/>
    <w:rsid w:val="00D57F7C"/>
    <w:rsid w:val="00D57FCB"/>
    <w:rsid w:val="00D6026E"/>
    <w:rsid w:val="00D603A1"/>
    <w:rsid w:val="00D6042D"/>
    <w:rsid w:val="00D60436"/>
    <w:rsid w:val="00D60476"/>
    <w:rsid w:val="00D6050A"/>
    <w:rsid w:val="00D60615"/>
    <w:rsid w:val="00D60C05"/>
    <w:rsid w:val="00D60CBF"/>
    <w:rsid w:val="00D60DAA"/>
    <w:rsid w:val="00D6109E"/>
    <w:rsid w:val="00D610D7"/>
    <w:rsid w:val="00D614B8"/>
    <w:rsid w:val="00D61981"/>
    <w:rsid w:val="00D61B2E"/>
    <w:rsid w:val="00D61C2F"/>
    <w:rsid w:val="00D61D0C"/>
    <w:rsid w:val="00D61DA8"/>
    <w:rsid w:val="00D6222F"/>
    <w:rsid w:val="00D62630"/>
    <w:rsid w:val="00D62674"/>
    <w:rsid w:val="00D62793"/>
    <w:rsid w:val="00D62845"/>
    <w:rsid w:val="00D63130"/>
    <w:rsid w:val="00D6325F"/>
    <w:rsid w:val="00D636A2"/>
    <w:rsid w:val="00D63D53"/>
    <w:rsid w:val="00D63D87"/>
    <w:rsid w:val="00D63E28"/>
    <w:rsid w:val="00D63EA1"/>
    <w:rsid w:val="00D644DA"/>
    <w:rsid w:val="00D64C05"/>
    <w:rsid w:val="00D64ECA"/>
    <w:rsid w:val="00D64F72"/>
    <w:rsid w:val="00D65121"/>
    <w:rsid w:val="00D65367"/>
    <w:rsid w:val="00D653A7"/>
    <w:rsid w:val="00D65941"/>
    <w:rsid w:val="00D65AA2"/>
    <w:rsid w:val="00D669F6"/>
    <w:rsid w:val="00D670AD"/>
    <w:rsid w:val="00D670C1"/>
    <w:rsid w:val="00D6762E"/>
    <w:rsid w:val="00D701B9"/>
    <w:rsid w:val="00D702F8"/>
    <w:rsid w:val="00D7048E"/>
    <w:rsid w:val="00D706E7"/>
    <w:rsid w:val="00D70872"/>
    <w:rsid w:val="00D70A81"/>
    <w:rsid w:val="00D70EF7"/>
    <w:rsid w:val="00D711A6"/>
    <w:rsid w:val="00D71270"/>
    <w:rsid w:val="00D71306"/>
    <w:rsid w:val="00D71379"/>
    <w:rsid w:val="00D71426"/>
    <w:rsid w:val="00D71EA6"/>
    <w:rsid w:val="00D72181"/>
    <w:rsid w:val="00D72B04"/>
    <w:rsid w:val="00D72BCE"/>
    <w:rsid w:val="00D72D44"/>
    <w:rsid w:val="00D73045"/>
    <w:rsid w:val="00D73881"/>
    <w:rsid w:val="00D7389C"/>
    <w:rsid w:val="00D7396F"/>
    <w:rsid w:val="00D7469B"/>
    <w:rsid w:val="00D748C3"/>
    <w:rsid w:val="00D74925"/>
    <w:rsid w:val="00D74961"/>
    <w:rsid w:val="00D74ABD"/>
    <w:rsid w:val="00D7506F"/>
    <w:rsid w:val="00D7523E"/>
    <w:rsid w:val="00D75425"/>
    <w:rsid w:val="00D75808"/>
    <w:rsid w:val="00D75856"/>
    <w:rsid w:val="00D75A30"/>
    <w:rsid w:val="00D75FD9"/>
    <w:rsid w:val="00D75FF8"/>
    <w:rsid w:val="00D7608A"/>
    <w:rsid w:val="00D760AB"/>
    <w:rsid w:val="00D76903"/>
    <w:rsid w:val="00D76A33"/>
    <w:rsid w:val="00D76B65"/>
    <w:rsid w:val="00D76D56"/>
    <w:rsid w:val="00D76DB6"/>
    <w:rsid w:val="00D76F3F"/>
    <w:rsid w:val="00D7711F"/>
    <w:rsid w:val="00D77BB9"/>
    <w:rsid w:val="00D77BFB"/>
    <w:rsid w:val="00D77CDA"/>
    <w:rsid w:val="00D77E8B"/>
    <w:rsid w:val="00D77F3D"/>
    <w:rsid w:val="00D77F4C"/>
    <w:rsid w:val="00D802A9"/>
    <w:rsid w:val="00D805E3"/>
    <w:rsid w:val="00D80726"/>
    <w:rsid w:val="00D80795"/>
    <w:rsid w:val="00D80922"/>
    <w:rsid w:val="00D80F96"/>
    <w:rsid w:val="00D81381"/>
    <w:rsid w:val="00D814F6"/>
    <w:rsid w:val="00D818A7"/>
    <w:rsid w:val="00D819DC"/>
    <w:rsid w:val="00D81AF1"/>
    <w:rsid w:val="00D81C47"/>
    <w:rsid w:val="00D8252F"/>
    <w:rsid w:val="00D82532"/>
    <w:rsid w:val="00D82573"/>
    <w:rsid w:val="00D828A9"/>
    <w:rsid w:val="00D828CC"/>
    <w:rsid w:val="00D83169"/>
    <w:rsid w:val="00D83352"/>
    <w:rsid w:val="00D835EC"/>
    <w:rsid w:val="00D835FF"/>
    <w:rsid w:val="00D836F1"/>
    <w:rsid w:val="00D839B4"/>
    <w:rsid w:val="00D83C12"/>
    <w:rsid w:val="00D83D31"/>
    <w:rsid w:val="00D83D6F"/>
    <w:rsid w:val="00D83E0E"/>
    <w:rsid w:val="00D83F97"/>
    <w:rsid w:val="00D840C6"/>
    <w:rsid w:val="00D84160"/>
    <w:rsid w:val="00D841FE"/>
    <w:rsid w:val="00D843D7"/>
    <w:rsid w:val="00D84470"/>
    <w:rsid w:val="00D8451F"/>
    <w:rsid w:val="00D8480C"/>
    <w:rsid w:val="00D848F1"/>
    <w:rsid w:val="00D84B99"/>
    <w:rsid w:val="00D84C5A"/>
    <w:rsid w:val="00D84E01"/>
    <w:rsid w:val="00D84E4B"/>
    <w:rsid w:val="00D851E7"/>
    <w:rsid w:val="00D85394"/>
    <w:rsid w:val="00D853A5"/>
    <w:rsid w:val="00D853EF"/>
    <w:rsid w:val="00D8547C"/>
    <w:rsid w:val="00D858C8"/>
    <w:rsid w:val="00D85DDB"/>
    <w:rsid w:val="00D8641F"/>
    <w:rsid w:val="00D86457"/>
    <w:rsid w:val="00D86EE9"/>
    <w:rsid w:val="00D86EF3"/>
    <w:rsid w:val="00D8723C"/>
    <w:rsid w:val="00D87399"/>
    <w:rsid w:val="00D87454"/>
    <w:rsid w:val="00D87829"/>
    <w:rsid w:val="00D87EB9"/>
    <w:rsid w:val="00D87F7C"/>
    <w:rsid w:val="00D90048"/>
    <w:rsid w:val="00D90066"/>
    <w:rsid w:val="00D90284"/>
    <w:rsid w:val="00D90345"/>
    <w:rsid w:val="00D906AD"/>
    <w:rsid w:val="00D906B0"/>
    <w:rsid w:val="00D908A0"/>
    <w:rsid w:val="00D90DF0"/>
    <w:rsid w:val="00D911B5"/>
    <w:rsid w:val="00D91676"/>
    <w:rsid w:val="00D917AC"/>
    <w:rsid w:val="00D917BA"/>
    <w:rsid w:val="00D91B7D"/>
    <w:rsid w:val="00D91BBC"/>
    <w:rsid w:val="00D91F05"/>
    <w:rsid w:val="00D92449"/>
    <w:rsid w:val="00D92522"/>
    <w:rsid w:val="00D92A4E"/>
    <w:rsid w:val="00D92B45"/>
    <w:rsid w:val="00D92C63"/>
    <w:rsid w:val="00D92DEA"/>
    <w:rsid w:val="00D92F3B"/>
    <w:rsid w:val="00D92F87"/>
    <w:rsid w:val="00D93148"/>
    <w:rsid w:val="00D931ED"/>
    <w:rsid w:val="00D9320A"/>
    <w:rsid w:val="00D936B6"/>
    <w:rsid w:val="00D94013"/>
    <w:rsid w:val="00D94280"/>
    <w:rsid w:val="00D945AA"/>
    <w:rsid w:val="00D9472D"/>
    <w:rsid w:val="00D947D1"/>
    <w:rsid w:val="00D947DF"/>
    <w:rsid w:val="00D9491B"/>
    <w:rsid w:val="00D95098"/>
    <w:rsid w:val="00D9555E"/>
    <w:rsid w:val="00D95947"/>
    <w:rsid w:val="00D9599E"/>
    <w:rsid w:val="00D95B1D"/>
    <w:rsid w:val="00D95BB2"/>
    <w:rsid w:val="00D95C82"/>
    <w:rsid w:val="00D95DFE"/>
    <w:rsid w:val="00D960BB"/>
    <w:rsid w:val="00D960D4"/>
    <w:rsid w:val="00D96135"/>
    <w:rsid w:val="00D965FE"/>
    <w:rsid w:val="00D96825"/>
    <w:rsid w:val="00D96853"/>
    <w:rsid w:val="00D96FFB"/>
    <w:rsid w:val="00D97090"/>
    <w:rsid w:val="00D976FE"/>
    <w:rsid w:val="00D97A31"/>
    <w:rsid w:val="00D97CD1"/>
    <w:rsid w:val="00D97D5E"/>
    <w:rsid w:val="00D97F50"/>
    <w:rsid w:val="00DA018F"/>
    <w:rsid w:val="00DA037C"/>
    <w:rsid w:val="00DA06B7"/>
    <w:rsid w:val="00DA0717"/>
    <w:rsid w:val="00DA08F7"/>
    <w:rsid w:val="00DA0986"/>
    <w:rsid w:val="00DA0FB5"/>
    <w:rsid w:val="00DA1002"/>
    <w:rsid w:val="00DA138C"/>
    <w:rsid w:val="00DA1453"/>
    <w:rsid w:val="00DA157D"/>
    <w:rsid w:val="00DA1854"/>
    <w:rsid w:val="00DA1B54"/>
    <w:rsid w:val="00DA229E"/>
    <w:rsid w:val="00DA238E"/>
    <w:rsid w:val="00DA25C8"/>
    <w:rsid w:val="00DA29C3"/>
    <w:rsid w:val="00DA2AC3"/>
    <w:rsid w:val="00DA2D79"/>
    <w:rsid w:val="00DA2E44"/>
    <w:rsid w:val="00DA2E89"/>
    <w:rsid w:val="00DA30E6"/>
    <w:rsid w:val="00DA3505"/>
    <w:rsid w:val="00DA37C4"/>
    <w:rsid w:val="00DA387B"/>
    <w:rsid w:val="00DA3F85"/>
    <w:rsid w:val="00DA4017"/>
    <w:rsid w:val="00DA425F"/>
    <w:rsid w:val="00DA46B2"/>
    <w:rsid w:val="00DA4EAB"/>
    <w:rsid w:val="00DA5013"/>
    <w:rsid w:val="00DA50B3"/>
    <w:rsid w:val="00DA5178"/>
    <w:rsid w:val="00DA5212"/>
    <w:rsid w:val="00DA5359"/>
    <w:rsid w:val="00DA53C8"/>
    <w:rsid w:val="00DA5744"/>
    <w:rsid w:val="00DA5AB6"/>
    <w:rsid w:val="00DA5B49"/>
    <w:rsid w:val="00DA5B94"/>
    <w:rsid w:val="00DA60D6"/>
    <w:rsid w:val="00DA62FD"/>
    <w:rsid w:val="00DA6940"/>
    <w:rsid w:val="00DA69FC"/>
    <w:rsid w:val="00DA6ABE"/>
    <w:rsid w:val="00DA6C55"/>
    <w:rsid w:val="00DA6CBA"/>
    <w:rsid w:val="00DA6EB6"/>
    <w:rsid w:val="00DA72DC"/>
    <w:rsid w:val="00DA78C2"/>
    <w:rsid w:val="00DA79A8"/>
    <w:rsid w:val="00DA7A17"/>
    <w:rsid w:val="00DA7D19"/>
    <w:rsid w:val="00DA7F86"/>
    <w:rsid w:val="00DB00FB"/>
    <w:rsid w:val="00DB0417"/>
    <w:rsid w:val="00DB0834"/>
    <w:rsid w:val="00DB0986"/>
    <w:rsid w:val="00DB0BA8"/>
    <w:rsid w:val="00DB0D57"/>
    <w:rsid w:val="00DB0D5B"/>
    <w:rsid w:val="00DB1291"/>
    <w:rsid w:val="00DB1426"/>
    <w:rsid w:val="00DB16ED"/>
    <w:rsid w:val="00DB1912"/>
    <w:rsid w:val="00DB1B61"/>
    <w:rsid w:val="00DB1C04"/>
    <w:rsid w:val="00DB1C24"/>
    <w:rsid w:val="00DB1C3E"/>
    <w:rsid w:val="00DB1CED"/>
    <w:rsid w:val="00DB2331"/>
    <w:rsid w:val="00DB2467"/>
    <w:rsid w:val="00DB25AF"/>
    <w:rsid w:val="00DB2976"/>
    <w:rsid w:val="00DB2D7D"/>
    <w:rsid w:val="00DB2F36"/>
    <w:rsid w:val="00DB309E"/>
    <w:rsid w:val="00DB36A7"/>
    <w:rsid w:val="00DB3D31"/>
    <w:rsid w:val="00DB3F98"/>
    <w:rsid w:val="00DB3FC7"/>
    <w:rsid w:val="00DB435F"/>
    <w:rsid w:val="00DB473E"/>
    <w:rsid w:val="00DB47FB"/>
    <w:rsid w:val="00DB48BB"/>
    <w:rsid w:val="00DB48D3"/>
    <w:rsid w:val="00DB4BCF"/>
    <w:rsid w:val="00DB4D25"/>
    <w:rsid w:val="00DB4E31"/>
    <w:rsid w:val="00DB5006"/>
    <w:rsid w:val="00DB500E"/>
    <w:rsid w:val="00DB5558"/>
    <w:rsid w:val="00DB5559"/>
    <w:rsid w:val="00DB57A1"/>
    <w:rsid w:val="00DB59D7"/>
    <w:rsid w:val="00DB5C76"/>
    <w:rsid w:val="00DB5F7F"/>
    <w:rsid w:val="00DB61A9"/>
    <w:rsid w:val="00DB6388"/>
    <w:rsid w:val="00DB647B"/>
    <w:rsid w:val="00DB64D9"/>
    <w:rsid w:val="00DB650C"/>
    <w:rsid w:val="00DB668E"/>
    <w:rsid w:val="00DB6954"/>
    <w:rsid w:val="00DB6995"/>
    <w:rsid w:val="00DB6FAA"/>
    <w:rsid w:val="00DB7036"/>
    <w:rsid w:val="00DB7081"/>
    <w:rsid w:val="00DB710A"/>
    <w:rsid w:val="00DB7443"/>
    <w:rsid w:val="00DB74B8"/>
    <w:rsid w:val="00DB75F3"/>
    <w:rsid w:val="00DB764F"/>
    <w:rsid w:val="00DB7938"/>
    <w:rsid w:val="00DB7D12"/>
    <w:rsid w:val="00DC0159"/>
    <w:rsid w:val="00DC0307"/>
    <w:rsid w:val="00DC03E2"/>
    <w:rsid w:val="00DC0500"/>
    <w:rsid w:val="00DC057D"/>
    <w:rsid w:val="00DC0A49"/>
    <w:rsid w:val="00DC0CD2"/>
    <w:rsid w:val="00DC13D0"/>
    <w:rsid w:val="00DC1469"/>
    <w:rsid w:val="00DC156F"/>
    <w:rsid w:val="00DC1D18"/>
    <w:rsid w:val="00DC2588"/>
    <w:rsid w:val="00DC25B2"/>
    <w:rsid w:val="00DC25D7"/>
    <w:rsid w:val="00DC2D4B"/>
    <w:rsid w:val="00DC2F35"/>
    <w:rsid w:val="00DC332E"/>
    <w:rsid w:val="00DC3511"/>
    <w:rsid w:val="00DC387A"/>
    <w:rsid w:val="00DC3952"/>
    <w:rsid w:val="00DC41EF"/>
    <w:rsid w:val="00DC4243"/>
    <w:rsid w:val="00DC4337"/>
    <w:rsid w:val="00DC46F3"/>
    <w:rsid w:val="00DC4B40"/>
    <w:rsid w:val="00DC4D0C"/>
    <w:rsid w:val="00DC4EA8"/>
    <w:rsid w:val="00DC5090"/>
    <w:rsid w:val="00DC51C5"/>
    <w:rsid w:val="00DC51C9"/>
    <w:rsid w:val="00DC52E1"/>
    <w:rsid w:val="00DC65AA"/>
    <w:rsid w:val="00DC6701"/>
    <w:rsid w:val="00DC67C2"/>
    <w:rsid w:val="00DC6A13"/>
    <w:rsid w:val="00DC6ADA"/>
    <w:rsid w:val="00DC6B67"/>
    <w:rsid w:val="00DC6EFA"/>
    <w:rsid w:val="00DC71B3"/>
    <w:rsid w:val="00DC71D6"/>
    <w:rsid w:val="00DC74C4"/>
    <w:rsid w:val="00DC76D4"/>
    <w:rsid w:val="00DC778D"/>
    <w:rsid w:val="00DC7A19"/>
    <w:rsid w:val="00DC7EF8"/>
    <w:rsid w:val="00DD0025"/>
    <w:rsid w:val="00DD0163"/>
    <w:rsid w:val="00DD0355"/>
    <w:rsid w:val="00DD035C"/>
    <w:rsid w:val="00DD04B8"/>
    <w:rsid w:val="00DD06D3"/>
    <w:rsid w:val="00DD0A18"/>
    <w:rsid w:val="00DD1675"/>
    <w:rsid w:val="00DD16AC"/>
    <w:rsid w:val="00DD16D5"/>
    <w:rsid w:val="00DD1854"/>
    <w:rsid w:val="00DD192A"/>
    <w:rsid w:val="00DD201C"/>
    <w:rsid w:val="00DD25DC"/>
    <w:rsid w:val="00DD25FD"/>
    <w:rsid w:val="00DD26D6"/>
    <w:rsid w:val="00DD2767"/>
    <w:rsid w:val="00DD283F"/>
    <w:rsid w:val="00DD28EA"/>
    <w:rsid w:val="00DD29B9"/>
    <w:rsid w:val="00DD2B27"/>
    <w:rsid w:val="00DD2BBA"/>
    <w:rsid w:val="00DD2F32"/>
    <w:rsid w:val="00DD2FD6"/>
    <w:rsid w:val="00DD30E5"/>
    <w:rsid w:val="00DD32C7"/>
    <w:rsid w:val="00DD3715"/>
    <w:rsid w:val="00DD37FA"/>
    <w:rsid w:val="00DD3BBE"/>
    <w:rsid w:val="00DD3BCF"/>
    <w:rsid w:val="00DD46EB"/>
    <w:rsid w:val="00DD4921"/>
    <w:rsid w:val="00DD4C83"/>
    <w:rsid w:val="00DD51AA"/>
    <w:rsid w:val="00DD5273"/>
    <w:rsid w:val="00DD5325"/>
    <w:rsid w:val="00DD5516"/>
    <w:rsid w:val="00DD57F6"/>
    <w:rsid w:val="00DD5B78"/>
    <w:rsid w:val="00DD5F59"/>
    <w:rsid w:val="00DD6146"/>
    <w:rsid w:val="00DD657B"/>
    <w:rsid w:val="00DD66AF"/>
    <w:rsid w:val="00DD69DD"/>
    <w:rsid w:val="00DD6D2A"/>
    <w:rsid w:val="00DD6D90"/>
    <w:rsid w:val="00DD70C0"/>
    <w:rsid w:val="00DD7553"/>
    <w:rsid w:val="00DD755A"/>
    <w:rsid w:val="00DD776A"/>
    <w:rsid w:val="00DD79BB"/>
    <w:rsid w:val="00DD7AC3"/>
    <w:rsid w:val="00DD7E17"/>
    <w:rsid w:val="00DD7FAD"/>
    <w:rsid w:val="00DE03A5"/>
    <w:rsid w:val="00DE0484"/>
    <w:rsid w:val="00DE0880"/>
    <w:rsid w:val="00DE0B44"/>
    <w:rsid w:val="00DE0DA7"/>
    <w:rsid w:val="00DE0DCC"/>
    <w:rsid w:val="00DE192B"/>
    <w:rsid w:val="00DE1B18"/>
    <w:rsid w:val="00DE1B20"/>
    <w:rsid w:val="00DE1D63"/>
    <w:rsid w:val="00DE1F75"/>
    <w:rsid w:val="00DE1FE1"/>
    <w:rsid w:val="00DE261E"/>
    <w:rsid w:val="00DE27AF"/>
    <w:rsid w:val="00DE2997"/>
    <w:rsid w:val="00DE2D65"/>
    <w:rsid w:val="00DE30D9"/>
    <w:rsid w:val="00DE31AE"/>
    <w:rsid w:val="00DE320D"/>
    <w:rsid w:val="00DE32B4"/>
    <w:rsid w:val="00DE3365"/>
    <w:rsid w:val="00DE35DB"/>
    <w:rsid w:val="00DE3994"/>
    <w:rsid w:val="00DE399C"/>
    <w:rsid w:val="00DE3AC0"/>
    <w:rsid w:val="00DE3B42"/>
    <w:rsid w:val="00DE4133"/>
    <w:rsid w:val="00DE43A1"/>
    <w:rsid w:val="00DE44EE"/>
    <w:rsid w:val="00DE4B42"/>
    <w:rsid w:val="00DE4BF8"/>
    <w:rsid w:val="00DE4C23"/>
    <w:rsid w:val="00DE4D0E"/>
    <w:rsid w:val="00DE5055"/>
    <w:rsid w:val="00DE526F"/>
    <w:rsid w:val="00DE533D"/>
    <w:rsid w:val="00DE53AB"/>
    <w:rsid w:val="00DE5691"/>
    <w:rsid w:val="00DE5810"/>
    <w:rsid w:val="00DE58C7"/>
    <w:rsid w:val="00DE591C"/>
    <w:rsid w:val="00DE5BC1"/>
    <w:rsid w:val="00DE5BC3"/>
    <w:rsid w:val="00DE5BF3"/>
    <w:rsid w:val="00DE5C42"/>
    <w:rsid w:val="00DE5CBE"/>
    <w:rsid w:val="00DE5D50"/>
    <w:rsid w:val="00DE60B8"/>
    <w:rsid w:val="00DE6AD5"/>
    <w:rsid w:val="00DE6B8D"/>
    <w:rsid w:val="00DE6CC3"/>
    <w:rsid w:val="00DE6E71"/>
    <w:rsid w:val="00DE7144"/>
    <w:rsid w:val="00DE7195"/>
    <w:rsid w:val="00DE748C"/>
    <w:rsid w:val="00DE76DA"/>
    <w:rsid w:val="00DE799B"/>
    <w:rsid w:val="00DE7A55"/>
    <w:rsid w:val="00DE7B98"/>
    <w:rsid w:val="00DE7C07"/>
    <w:rsid w:val="00DF0758"/>
    <w:rsid w:val="00DF07F9"/>
    <w:rsid w:val="00DF094F"/>
    <w:rsid w:val="00DF0AE1"/>
    <w:rsid w:val="00DF0C66"/>
    <w:rsid w:val="00DF0F3B"/>
    <w:rsid w:val="00DF1331"/>
    <w:rsid w:val="00DF13AB"/>
    <w:rsid w:val="00DF140B"/>
    <w:rsid w:val="00DF1633"/>
    <w:rsid w:val="00DF167F"/>
    <w:rsid w:val="00DF1A59"/>
    <w:rsid w:val="00DF200C"/>
    <w:rsid w:val="00DF2240"/>
    <w:rsid w:val="00DF238C"/>
    <w:rsid w:val="00DF2959"/>
    <w:rsid w:val="00DF2B32"/>
    <w:rsid w:val="00DF2DE5"/>
    <w:rsid w:val="00DF2F15"/>
    <w:rsid w:val="00DF2F70"/>
    <w:rsid w:val="00DF30D4"/>
    <w:rsid w:val="00DF3532"/>
    <w:rsid w:val="00DF3569"/>
    <w:rsid w:val="00DF379A"/>
    <w:rsid w:val="00DF3A72"/>
    <w:rsid w:val="00DF41B2"/>
    <w:rsid w:val="00DF41CF"/>
    <w:rsid w:val="00DF441E"/>
    <w:rsid w:val="00DF4429"/>
    <w:rsid w:val="00DF4CBF"/>
    <w:rsid w:val="00DF5045"/>
    <w:rsid w:val="00DF5360"/>
    <w:rsid w:val="00DF55E5"/>
    <w:rsid w:val="00DF5703"/>
    <w:rsid w:val="00DF5C4E"/>
    <w:rsid w:val="00DF5DD2"/>
    <w:rsid w:val="00DF65CE"/>
    <w:rsid w:val="00DF6909"/>
    <w:rsid w:val="00DF6C6E"/>
    <w:rsid w:val="00DF6E52"/>
    <w:rsid w:val="00DF71F8"/>
    <w:rsid w:val="00DF7441"/>
    <w:rsid w:val="00DF7556"/>
    <w:rsid w:val="00DF75E6"/>
    <w:rsid w:val="00DF7882"/>
    <w:rsid w:val="00DF7924"/>
    <w:rsid w:val="00DF7A08"/>
    <w:rsid w:val="00DF7E0F"/>
    <w:rsid w:val="00E00043"/>
    <w:rsid w:val="00E000E2"/>
    <w:rsid w:val="00E0018E"/>
    <w:rsid w:val="00E0056D"/>
    <w:rsid w:val="00E0062D"/>
    <w:rsid w:val="00E0066F"/>
    <w:rsid w:val="00E00711"/>
    <w:rsid w:val="00E007A6"/>
    <w:rsid w:val="00E00A8B"/>
    <w:rsid w:val="00E00ADC"/>
    <w:rsid w:val="00E00B47"/>
    <w:rsid w:val="00E00BC5"/>
    <w:rsid w:val="00E00E87"/>
    <w:rsid w:val="00E00EB2"/>
    <w:rsid w:val="00E01223"/>
    <w:rsid w:val="00E020DE"/>
    <w:rsid w:val="00E021FB"/>
    <w:rsid w:val="00E02C6F"/>
    <w:rsid w:val="00E03195"/>
    <w:rsid w:val="00E032C0"/>
    <w:rsid w:val="00E034D4"/>
    <w:rsid w:val="00E035C1"/>
    <w:rsid w:val="00E03637"/>
    <w:rsid w:val="00E03B6C"/>
    <w:rsid w:val="00E03B9D"/>
    <w:rsid w:val="00E03D6E"/>
    <w:rsid w:val="00E03E27"/>
    <w:rsid w:val="00E040BF"/>
    <w:rsid w:val="00E04245"/>
    <w:rsid w:val="00E042D2"/>
    <w:rsid w:val="00E0468F"/>
    <w:rsid w:val="00E046FD"/>
    <w:rsid w:val="00E04734"/>
    <w:rsid w:val="00E049AE"/>
    <w:rsid w:val="00E04ADD"/>
    <w:rsid w:val="00E04D91"/>
    <w:rsid w:val="00E055EF"/>
    <w:rsid w:val="00E05889"/>
    <w:rsid w:val="00E05927"/>
    <w:rsid w:val="00E059B4"/>
    <w:rsid w:val="00E060E9"/>
    <w:rsid w:val="00E0621E"/>
    <w:rsid w:val="00E065AF"/>
    <w:rsid w:val="00E065C1"/>
    <w:rsid w:val="00E06A2B"/>
    <w:rsid w:val="00E06DCF"/>
    <w:rsid w:val="00E06F55"/>
    <w:rsid w:val="00E074CF"/>
    <w:rsid w:val="00E07547"/>
    <w:rsid w:val="00E076AC"/>
    <w:rsid w:val="00E07BA2"/>
    <w:rsid w:val="00E07F05"/>
    <w:rsid w:val="00E10115"/>
    <w:rsid w:val="00E101D1"/>
    <w:rsid w:val="00E10251"/>
    <w:rsid w:val="00E1039A"/>
    <w:rsid w:val="00E10640"/>
    <w:rsid w:val="00E10662"/>
    <w:rsid w:val="00E10988"/>
    <w:rsid w:val="00E109D8"/>
    <w:rsid w:val="00E10BBB"/>
    <w:rsid w:val="00E10CC0"/>
    <w:rsid w:val="00E1116F"/>
    <w:rsid w:val="00E112CA"/>
    <w:rsid w:val="00E114C1"/>
    <w:rsid w:val="00E117FA"/>
    <w:rsid w:val="00E11805"/>
    <w:rsid w:val="00E119C5"/>
    <w:rsid w:val="00E11C54"/>
    <w:rsid w:val="00E11C78"/>
    <w:rsid w:val="00E122DF"/>
    <w:rsid w:val="00E12463"/>
    <w:rsid w:val="00E1259D"/>
    <w:rsid w:val="00E125B7"/>
    <w:rsid w:val="00E12752"/>
    <w:rsid w:val="00E12A52"/>
    <w:rsid w:val="00E133E5"/>
    <w:rsid w:val="00E13932"/>
    <w:rsid w:val="00E13C2E"/>
    <w:rsid w:val="00E13C8F"/>
    <w:rsid w:val="00E13CBD"/>
    <w:rsid w:val="00E13D1C"/>
    <w:rsid w:val="00E13EB5"/>
    <w:rsid w:val="00E13F2C"/>
    <w:rsid w:val="00E14249"/>
    <w:rsid w:val="00E14935"/>
    <w:rsid w:val="00E14D4B"/>
    <w:rsid w:val="00E14EC0"/>
    <w:rsid w:val="00E14FD5"/>
    <w:rsid w:val="00E1518A"/>
    <w:rsid w:val="00E151EB"/>
    <w:rsid w:val="00E15A70"/>
    <w:rsid w:val="00E15FEB"/>
    <w:rsid w:val="00E160C2"/>
    <w:rsid w:val="00E16268"/>
    <w:rsid w:val="00E162A9"/>
    <w:rsid w:val="00E162B9"/>
    <w:rsid w:val="00E1639E"/>
    <w:rsid w:val="00E16482"/>
    <w:rsid w:val="00E164A3"/>
    <w:rsid w:val="00E16532"/>
    <w:rsid w:val="00E1655A"/>
    <w:rsid w:val="00E165E0"/>
    <w:rsid w:val="00E16735"/>
    <w:rsid w:val="00E16A77"/>
    <w:rsid w:val="00E16D76"/>
    <w:rsid w:val="00E16F5D"/>
    <w:rsid w:val="00E1720A"/>
    <w:rsid w:val="00E173E7"/>
    <w:rsid w:val="00E17688"/>
    <w:rsid w:val="00E176F1"/>
    <w:rsid w:val="00E17937"/>
    <w:rsid w:val="00E17A37"/>
    <w:rsid w:val="00E2011A"/>
    <w:rsid w:val="00E20A9E"/>
    <w:rsid w:val="00E20B36"/>
    <w:rsid w:val="00E210FB"/>
    <w:rsid w:val="00E21628"/>
    <w:rsid w:val="00E216A6"/>
    <w:rsid w:val="00E2198D"/>
    <w:rsid w:val="00E21AC9"/>
    <w:rsid w:val="00E21F70"/>
    <w:rsid w:val="00E220C5"/>
    <w:rsid w:val="00E22129"/>
    <w:rsid w:val="00E223E0"/>
    <w:rsid w:val="00E223F6"/>
    <w:rsid w:val="00E2282A"/>
    <w:rsid w:val="00E22904"/>
    <w:rsid w:val="00E23184"/>
    <w:rsid w:val="00E231B2"/>
    <w:rsid w:val="00E233B7"/>
    <w:rsid w:val="00E23652"/>
    <w:rsid w:val="00E238B4"/>
    <w:rsid w:val="00E23915"/>
    <w:rsid w:val="00E24167"/>
    <w:rsid w:val="00E24307"/>
    <w:rsid w:val="00E24659"/>
    <w:rsid w:val="00E24AB9"/>
    <w:rsid w:val="00E24E5D"/>
    <w:rsid w:val="00E250EA"/>
    <w:rsid w:val="00E2521F"/>
    <w:rsid w:val="00E25541"/>
    <w:rsid w:val="00E2556E"/>
    <w:rsid w:val="00E257EE"/>
    <w:rsid w:val="00E25B24"/>
    <w:rsid w:val="00E25F19"/>
    <w:rsid w:val="00E261DF"/>
    <w:rsid w:val="00E26A6D"/>
    <w:rsid w:val="00E26C0D"/>
    <w:rsid w:val="00E26D0D"/>
    <w:rsid w:val="00E2749E"/>
    <w:rsid w:val="00E2754F"/>
    <w:rsid w:val="00E275A1"/>
    <w:rsid w:val="00E27636"/>
    <w:rsid w:val="00E27811"/>
    <w:rsid w:val="00E27B24"/>
    <w:rsid w:val="00E27B64"/>
    <w:rsid w:val="00E27FEF"/>
    <w:rsid w:val="00E30292"/>
    <w:rsid w:val="00E3056F"/>
    <w:rsid w:val="00E30963"/>
    <w:rsid w:val="00E30AE8"/>
    <w:rsid w:val="00E30D22"/>
    <w:rsid w:val="00E30D93"/>
    <w:rsid w:val="00E31455"/>
    <w:rsid w:val="00E319C2"/>
    <w:rsid w:val="00E31DE9"/>
    <w:rsid w:val="00E31E10"/>
    <w:rsid w:val="00E32074"/>
    <w:rsid w:val="00E32119"/>
    <w:rsid w:val="00E321DE"/>
    <w:rsid w:val="00E32311"/>
    <w:rsid w:val="00E32375"/>
    <w:rsid w:val="00E329CB"/>
    <w:rsid w:val="00E32A7A"/>
    <w:rsid w:val="00E32CFC"/>
    <w:rsid w:val="00E3300E"/>
    <w:rsid w:val="00E33173"/>
    <w:rsid w:val="00E332F7"/>
    <w:rsid w:val="00E333C3"/>
    <w:rsid w:val="00E334E9"/>
    <w:rsid w:val="00E3368C"/>
    <w:rsid w:val="00E33739"/>
    <w:rsid w:val="00E338E8"/>
    <w:rsid w:val="00E33B69"/>
    <w:rsid w:val="00E33D2D"/>
    <w:rsid w:val="00E34193"/>
    <w:rsid w:val="00E3420A"/>
    <w:rsid w:val="00E345DA"/>
    <w:rsid w:val="00E346C2"/>
    <w:rsid w:val="00E347CA"/>
    <w:rsid w:val="00E34B20"/>
    <w:rsid w:val="00E34D93"/>
    <w:rsid w:val="00E352BB"/>
    <w:rsid w:val="00E357FA"/>
    <w:rsid w:val="00E359B6"/>
    <w:rsid w:val="00E35B18"/>
    <w:rsid w:val="00E35DA6"/>
    <w:rsid w:val="00E35F17"/>
    <w:rsid w:val="00E36040"/>
    <w:rsid w:val="00E36243"/>
    <w:rsid w:val="00E36296"/>
    <w:rsid w:val="00E36504"/>
    <w:rsid w:val="00E3699A"/>
    <w:rsid w:val="00E36BAD"/>
    <w:rsid w:val="00E36BD4"/>
    <w:rsid w:val="00E36D15"/>
    <w:rsid w:val="00E36F79"/>
    <w:rsid w:val="00E37317"/>
    <w:rsid w:val="00E374E0"/>
    <w:rsid w:val="00E37568"/>
    <w:rsid w:val="00E377EB"/>
    <w:rsid w:val="00E379F0"/>
    <w:rsid w:val="00E37A05"/>
    <w:rsid w:val="00E402CE"/>
    <w:rsid w:val="00E40522"/>
    <w:rsid w:val="00E40AAF"/>
    <w:rsid w:val="00E40CF9"/>
    <w:rsid w:val="00E40D50"/>
    <w:rsid w:val="00E40EA1"/>
    <w:rsid w:val="00E40F57"/>
    <w:rsid w:val="00E416F7"/>
    <w:rsid w:val="00E41840"/>
    <w:rsid w:val="00E41F81"/>
    <w:rsid w:val="00E41F89"/>
    <w:rsid w:val="00E420EB"/>
    <w:rsid w:val="00E4257F"/>
    <w:rsid w:val="00E4298B"/>
    <w:rsid w:val="00E42A9A"/>
    <w:rsid w:val="00E42B95"/>
    <w:rsid w:val="00E42C02"/>
    <w:rsid w:val="00E42CB5"/>
    <w:rsid w:val="00E42D29"/>
    <w:rsid w:val="00E42F24"/>
    <w:rsid w:val="00E43260"/>
    <w:rsid w:val="00E4360F"/>
    <w:rsid w:val="00E43734"/>
    <w:rsid w:val="00E43779"/>
    <w:rsid w:val="00E43FB9"/>
    <w:rsid w:val="00E44259"/>
    <w:rsid w:val="00E44332"/>
    <w:rsid w:val="00E4437D"/>
    <w:rsid w:val="00E444F9"/>
    <w:rsid w:val="00E44A3B"/>
    <w:rsid w:val="00E4532C"/>
    <w:rsid w:val="00E45478"/>
    <w:rsid w:val="00E45827"/>
    <w:rsid w:val="00E45D57"/>
    <w:rsid w:val="00E45DFF"/>
    <w:rsid w:val="00E4605F"/>
    <w:rsid w:val="00E46086"/>
    <w:rsid w:val="00E4638F"/>
    <w:rsid w:val="00E46441"/>
    <w:rsid w:val="00E46470"/>
    <w:rsid w:val="00E4679F"/>
    <w:rsid w:val="00E46890"/>
    <w:rsid w:val="00E46F17"/>
    <w:rsid w:val="00E470B5"/>
    <w:rsid w:val="00E47430"/>
    <w:rsid w:val="00E47449"/>
    <w:rsid w:val="00E4775F"/>
    <w:rsid w:val="00E47E4C"/>
    <w:rsid w:val="00E50038"/>
    <w:rsid w:val="00E50484"/>
    <w:rsid w:val="00E50936"/>
    <w:rsid w:val="00E50BA6"/>
    <w:rsid w:val="00E5118E"/>
    <w:rsid w:val="00E51475"/>
    <w:rsid w:val="00E51859"/>
    <w:rsid w:val="00E51BA7"/>
    <w:rsid w:val="00E51BE2"/>
    <w:rsid w:val="00E51D0C"/>
    <w:rsid w:val="00E52260"/>
    <w:rsid w:val="00E523F3"/>
    <w:rsid w:val="00E523F8"/>
    <w:rsid w:val="00E52C52"/>
    <w:rsid w:val="00E52C80"/>
    <w:rsid w:val="00E530EB"/>
    <w:rsid w:val="00E53128"/>
    <w:rsid w:val="00E53471"/>
    <w:rsid w:val="00E53583"/>
    <w:rsid w:val="00E535A6"/>
    <w:rsid w:val="00E53B5C"/>
    <w:rsid w:val="00E53B79"/>
    <w:rsid w:val="00E53D06"/>
    <w:rsid w:val="00E53DE4"/>
    <w:rsid w:val="00E5445A"/>
    <w:rsid w:val="00E5469B"/>
    <w:rsid w:val="00E5472B"/>
    <w:rsid w:val="00E5478E"/>
    <w:rsid w:val="00E54A3D"/>
    <w:rsid w:val="00E54F04"/>
    <w:rsid w:val="00E551C6"/>
    <w:rsid w:val="00E55510"/>
    <w:rsid w:val="00E558AE"/>
    <w:rsid w:val="00E55DEF"/>
    <w:rsid w:val="00E55E48"/>
    <w:rsid w:val="00E5627C"/>
    <w:rsid w:val="00E564C5"/>
    <w:rsid w:val="00E5650C"/>
    <w:rsid w:val="00E56A5A"/>
    <w:rsid w:val="00E56A65"/>
    <w:rsid w:val="00E56D05"/>
    <w:rsid w:val="00E56DB8"/>
    <w:rsid w:val="00E575E6"/>
    <w:rsid w:val="00E57A86"/>
    <w:rsid w:val="00E57E25"/>
    <w:rsid w:val="00E57FAF"/>
    <w:rsid w:val="00E602BE"/>
    <w:rsid w:val="00E6119D"/>
    <w:rsid w:val="00E613FA"/>
    <w:rsid w:val="00E615DE"/>
    <w:rsid w:val="00E61FB6"/>
    <w:rsid w:val="00E621AF"/>
    <w:rsid w:val="00E6233B"/>
    <w:rsid w:val="00E6260E"/>
    <w:rsid w:val="00E628D6"/>
    <w:rsid w:val="00E62987"/>
    <w:rsid w:val="00E6299F"/>
    <w:rsid w:val="00E62B53"/>
    <w:rsid w:val="00E62E0B"/>
    <w:rsid w:val="00E63020"/>
    <w:rsid w:val="00E632DC"/>
    <w:rsid w:val="00E6349E"/>
    <w:rsid w:val="00E634BE"/>
    <w:rsid w:val="00E637B6"/>
    <w:rsid w:val="00E639E9"/>
    <w:rsid w:val="00E63B4E"/>
    <w:rsid w:val="00E63EDF"/>
    <w:rsid w:val="00E6418B"/>
    <w:rsid w:val="00E64484"/>
    <w:rsid w:val="00E651FD"/>
    <w:rsid w:val="00E6526B"/>
    <w:rsid w:val="00E652E8"/>
    <w:rsid w:val="00E65337"/>
    <w:rsid w:val="00E65A07"/>
    <w:rsid w:val="00E65B7B"/>
    <w:rsid w:val="00E65EAC"/>
    <w:rsid w:val="00E65EB7"/>
    <w:rsid w:val="00E661B0"/>
    <w:rsid w:val="00E667D0"/>
    <w:rsid w:val="00E66A13"/>
    <w:rsid w:val="00E66B62"/>
    <w:rsid w:val="00E66D88"/>
    <w:rsid w:val="00E67107"/>
    <w:rsid w:val="00E67133"/>
    <w:rsid w:val="00E67260"/>
    <w:rsid w:val="00E672FD"/>
    <w:rsid w:val="00E67337"/>
    <w:rsid w:val="00E6774E"/>
    <w:rsid w:val="00E679FB"/>
    <w:rsid w:val="00E70343"/>
    <w:rsid w:val="00E70540"/>
    <w:rsid w:val="00E709A8"/>
    <w:rsid w:val="00E709B5"/>
    <w:rsid w:val="00E70AD8"/>
    <w:rsid w:val="00E70E13"/>
    <w:rsid w:val="00E710F6"/>
    <w:rsid w:val="00E71A7A"/>
    <w:rsid w:val="00E71B83"/>
    <w:rsid w:val="00E71C80"/>
    <w:rsid w:val="00E71DB9"/>
    <w:rsid w:val="00E72485"/>
    <w:rsid w:val="00E7271C"/>
    <w:rsid w:val="00E72BF1"/>
    <w:rsid w:val="00E7331B"/>
    <w:rsid w:val="00E733B9"/>
    <w:rsid w:val="00E73495"/>
    <w:rsid w:val="00E734D4"/>
    <w:rsid w:val="00E73B9B"/>
    <w:rsid w:val="00E73BEE"/>
    <w:rsid w:val="00E73E0D"/>
    <w:rsid w:val="00E7417A"/>
    <w:rsid w:val="00E74389"/>
    <w:rsid w:val="00E748B2"/>
    <w:rsid w:val="00E749B4"/>
    <w:rsid w:val="00E750B0"/>
    <w:rsid w:val="00E75364"/>
    <w:rsid w:val="00E7551C"/>
    <w:rsid w:val="00E75652"/>
    <w:rsid w:val="00E75B99"/>
    <w:rsid w:val="00E75DEF"/>
    <w:rsid w:val="00E76B1E"/>
    <w:rsid w:val="00E76B4B"/>
    <w:rsid w:val="00E76DC7"/>
    <w:rsid w:val="00E76DDA"/>
    <w:rsid w:val="00E76EA5"/>
    <w:rsid w:val="00E77573"/>
    <w:rsid w:val="00E779CD"/>
    <w:rsid w:val="00E77B2F"/>
    <w:rsid w:val="00E77D79"/>
    <w:rsid w:val="00E8009B"/>
    <w:rsid w:val="00E8125B"/>
    <w:rsid w:val="00E81427"/>
    <w:rsid w:val="00E814AC"/>
    <w:rsid w:val="00E81729"/>
    <w:rsid w:val="00E81842"/>
    <w:rsid w:val="00E819FC"/>
    <w:rsid w:val="00E81C52"/>
    <w:rsid w:val="00E81DC4"/>
    <w:rsid w:val="00E82317"/>
    <w:rsid w:val="00E824B5"/>
    <w:rsid w:val="00E824E3"/>
    <w:rsid w:val="00E825FE"/>
    <w:rsid w:val="00E828C6"/>
    <w:rsid w:val="00E82997"/>
    <w:rsid w:val="00E829E3"/>
    <w:rsid w:val="00E82A7A"/>
    <w:rsid w:val="00E82F67"/>
    <w:rsid w:val="00E832E9"/>
    <w:rsid w:val="00E8334A"/>
    <w:rsid w:val="00E83539"/>
    <w:rsid w:val="00E837A3"/>
    <w:rsid w:val="00E83DB8"/>
    <w:rsid w:val="00E83EB2"/>
    <w:rsid w:val="00E83EE5"/>
    <w:rsid w:val="00E8400B"/>
    <w:rsid w:val="00E843AC"/>
    <w:rsid w:val="00E84496"/>
    <w:rsid w:val="00E84709"/>
    <w:rsid w:val="00E849EB"/>
    <w:rsid w:val="00E84DC3"/>
    <w:rsid w:val="00E85104"/>
    <w:rsid w:val="00E85147"/>
    <w:rsid w:val="00E855C2"/>
    <w:rsid w:val="00E858E6"/>
    <w:rsid w:val="00E85C6B"/>
    <w:rsid w:val="00E85CA8"/>
    <w:rsid w:val="00E85F4D"/>
    <w:rsid w:val="00E85FD4"/>
    <w:rsid w:val="00E86223"/>
    <w:rsid w:val="00E86622"/>
    <w:rsid w:val="00E867B4"/>
    <w:rsid w:val="00E8691C"/>
    <w:rsid w:val="00E8694E"/>
    <w:rsid w:val="00E86B96"/>
    <w:rsid w:val="00E86C90"/>
    <w:rsid w:val="00E86F25"/>
    <w:rsid w:val="00E8751C"/>
    <w:rsid w:val="00E876CC"/>
    <w:rsid w:val="00E87887"/>
    <w:rsid w:val="00E87F29"/>
    <w:rsid w:val="00E87F2A"/>
    <w:rsid w:val="00E902D2"/>
    <w:rsid w:val="00E9042D"/>
    <w:rsid w:val="00E904FB"/>
    <w:rsid w:val="00E905A3"/>
    <w:rsid w:val="00E90DC2"/>
    <w:rsid w:val="00E91465"/>
    <w:rsid w:val="00E917E1"/>
    <w:rsid w:val="00E91C2B"/>
    <w:rsid w:val="00E923FD"/>
    <w:rsid w:val="00E9253B"/>
    <w:rsid w:val="00E92634"/>
    <w:rsid w:val="00E92656"/>
    <w:rsid w:val="00E928EB"/>
    <w:rsid w:val="00E929F2"/>
    <w:rsid w:val="00E92C22"/>
    <w:rsid w:val="00E92D26"/>
    <w:rsid w:val="00E92E37"/>
    <w:rsid w:val="00E92F00"/>
    <w:rsid w:val="00E92F98"/>
    <w:rsid w:val="00E932BD"/>
    <w:rsid w:val="00E935C4"/>
    <w:rsid w:val="00E938D6"/>
    <w:rsid w:val="00E9390C"/>
    <w:rsid w:val="00E939CA"/>
    <w:rsid w:val="00E93C1D"/>
    <w:rsid w:val="00E93D95"/>
    <w:rsid w:val="00E93E78"/>
    <w:rsid w:val="00E93F9B"/>
    <w:rsid w:val="00E9408E"/>
    <w:rsid w:val="00E94148"/>
    <w:rsid w:val="00E94887"/>
    <w:rsid w:val="00E94FE7"/>
    <w:rsid w:val="00E950E7"/>
    <w:rsid w:val="00E950FD"/>
    <w:rsid w:val="00E9517B"/>
    <w:rsid w:val="00E95541"/>
    <w:rsid w:val="00E95952"/>
    <w:rsid w:val="00E95BED"/>
    <w:rsid w:val="00E95BF6"/>
    <w:rsid w:val="00E95C2A"/>
    <w:rsid w:val="00E95E32"/>
    <w:rsid w:val="00E9619E"/>
    <w:rsid w:val="00E963B9"/>
    <w:rsid w:val="00E96492"/>
    <w:rsid w:val="00E9663A"/>
    <w:rsid w:val="00E96961"/>
    <w:rsid w:val="00E971B9"/>
    <w:rsid w:val="00E97438"/>
    <w:rsid w:val="00E9758C"/>
    <w:rsid w:val="00E97592"/>
    <w:rsid w:val="00E97AD1"/>
    <w:rsid w:val="00E97F4A"/>
    <w:rsid w:val="00EA01B9"/>
    <w:rsid w:val="00EA058E"/>
    <w:rsid w:val="00EA06ED"/>
    <w:rsid w:val="00EA084C"/>
    <w:rsid w:val="00EA0891"/>
    <w:rsid w:val="00EA0CE4"/>
    <w:rsid w:val="00EA0D2F"/>
    <w:rsid w:val="00EA1317"/>
    <w:rsid w:val="00EA1351"/>
    <w:rsid w:val="00EA13B0"/>
    <w:rsid w:val="00EA159C"/>
    <w:rsid w:val="00EA16FD"/>
    <w:rsid w:val="00EA18B5"/>
    <w:rsid w:val="00EA1A47"/>
    <w:rsid w:val="00EA1DE9"/>
    <w:rsid w:val="00EA1EAF"/>
    <w:rsid w:val="00EA214A"/>
    <w:rsid w:val="00EA21F4"/>
    <w:rsid w:val="00EA238A"/>
    <w:rsid w:val="00EA292A"/>
    <w:rsid w:val="00EA2A81"/>
    <w:rsid w:val="00EA2B8D"/>
    <w:rsid w:val="00EA2C2D"/>
    <w:rsid w:val="00EA2F13"/>
    <w:rsid w:val="00EA3092"/>
    <w:rsid w:val="00EA333D"/>
    <w:rsid w:val="00EA354C"/>
    <w:rsid w:val="00EA35D6"/>
    <w:rsid w:val="00EA3657"/>
    <w:rsid w:val="00EA370B"/>
    <w:rsid w:val="00EA3ACE"/>
    <w:rsid w:val="00EA3C75"/>
    <w:rsid w:val="00EA3E76"/>
    <w:rsid w:val="00EA3F1E"/>
    <w:rsid w:val="00EA408C"/>
    <w:rsid w:val="00EA43FF"/>
    <w:rsid w:val="00EA45B5"/>
    <w:rsid w:val="00EA4815"/>
    <w:rsid w:val="00EA4C96"/>
    <w:rsid w:val="00EA4CD5"/>
    <w:rsid w:val="00EA4F12"/>
    <w:rsid w:val="00EA5336"/>
    <w:rsid w:val="00EA5567"/>
    <w:rsid w:val="00EA58E2"/>
    <w:rsid w:val="00EA5910"/>
    <w:rsid w:val="00EA5991"/>
    <w:rsid w:val="00EA5B49"/>
    <w:rsid w:val="00EA5E23"/>
    <w:rsid w:val="00EA607D"/>
    <w:rsid w:val="00EA66D2"/>
    <w:rsid w:val="00EA6840"/>
    <w:rsid w:val="00EA6E29"/>
    <w:rsid w:val="00EA6FFE"/>
    <w:rsid w:val="00EA7092"/>
    <w:rsid w:val="00EA70F7"/>
    <w:rsid w:val="00EA7477"/>
    <w:rsid w:val="00EA77F3"/>
    <w:rsid w:val="00EA78F5"/>
    <w:rsid w:val="00EA7A6C"/>
    <w:rsid w:val="00EA7BD1"/>
    <w:rsid w:val="00EA7C0F"/>
    <w:rsid w:val="00EB0302"/>
    <w:rsid w:val="00EB091D"/>
    <w:rsid w:val="00EB0F9A"/>
    <w:rsid w:val="00EB1083"/>
    <w:rsid w:val="00EB10C3"/>
    <w:rsid w:val="00EB1300"/>
    <w:rsid w:val="00EB157E"/>
    <w:rsid w:val="00EB177C"/>
    <w:rsid w:val="00EB17B2"/>
    <w:rsid w:val="00EB1CE9"/>
    <w:rsid w:val="00EB1E15"/>
    <w:rsid w:val="00EB20F5"/>
    <w:rsid w:val="00EB213D"/>
    <w:rsid w:val="00EB25B5"/>
    <w:rsid w:val="00EB25FB"/>
    <w:rsid w:val="00EB2E70"/>
    <w:rsid w:val="00EB2ED5"/>
    <w:rsid w:val="00EB30EB"/>
    <w:rsid w:val="00EB3238"/>
    <w:rsid w:val="00EB3A1C"/>
    <w:rsid w:val="00EB3A47"/>
    <w:rsid w:val="00EB3C56"/>
    <w:rsid w:val="00EB3D03"/>
    <w:rsid w:val="00EB3DB1"/>
    <w:rsid w:val="00EB4115"/>
    <w:rsid w:val="00EB4261"/>
    <w:rsid w:val="00EB4AAE"/>
    <w:rsid w:val="00EB5639"/>
    <w:rsid w:val="00EB5D6A"/>
    <w:rsid w:val="00EB5E1E"/>
    <w:rsid w:val="00EB61DE"/>
    <w:rsid w:val="00EB61EA"/>
    <w:rsid w:val="00EB64CC"/>
    <w:rsid w:val="00EB6F01"/>
    <w:rsid w:val="00EB742C"/>
    <w:rsid w:val="00EB77D7"/>
    <w:rsid w:val="00EB7A7E"/>
    <w:rsid w:val="00EB7AFA"/>
    <w:rsid w:val="00EB7C2B"/>
    <w:rsid w:val="00EB7DF2"/>
    <w:rsid w:val="00EC038B"/>
    <w:rsid w:val="00EC0A15"/>
    <w:rsid w:val="00EC0D27"/>
    <w:rsid w:val="00EC1198"/>
    <w:rsid w:val="00EC11D9"/>
    <w:rsid w:val="00EC145F"/>
    <w:rsid w:val="00EC1467"/>
    <w:rsid w:val="00EC1475"/>
    <w:rsid w:val="00EC168E"/>
    <w:rsid w:val="00EC16FF"/>
    <w:rsid w:val="00EC1883"/>
    <w:rsid w:val="00EC1D06"/>
    <w:rsid w:val="00EC2411"/>
    <w:rsid w:val="00EC24C1"/>
    <w:rsid w:val="00EC274B"/>
    <w:rsid w:val="00EC27F0"/>
    <w:rsid w:val="00EC2960"/>
    <w:rsid w:val="00EC33E8"/>
    <w:rsid w:val="00EC34DE"/>
    <w:rsid w:val="00EC37E7"/>
    <w:rsid w:val="00EC382F"/>
    <w:rsid w:val="00EC38BA"/>
    <w:rsid w:val="00EC38CF"/>
    <w:rsid w:val="00EC3C15"/>
    <w:rsid w:val="00EC3ED1"/>
    <w:rsid w:val="00EC3F49"/>
    <w:rsid w:val="00EC3F55"/>
    <w:rsid w:val="00EC48D2"/>
    <w:rsid w:val="00EC4A0A"/>
    <w:rsid w:val="00EC4B44"/>
    <w:rsid w:val="00EC4BC1"/>
    <w:rsid w:val="00EC4C39"/>
    <w:rsid w:val="00EC4CD3"/>
    <w:rsid w:val="00EC4F0F"/>
    <w:rsid w:val="00EC509B"/>
    <w:rsid w:val="00EC50EE"/>
    <w:rsid w:val="00EC53C5"/>
    <w:rsid w:val="00EC5430"/>
    <w:rsid w:val="00EC55C6"/>
    <w:rsid w:val="00EC58BB"/>
    <w:rsid w:val="00EC5B16"/>
    <w:rsid w:val="00EC5D8C"/>
    <w:rsid w:val="00EC5DE4"/>
    <w:rsid w:val="00EC62A0"/>
    <w:rsid w:val="00EC671D"/>
    <w:rsid w:val="00EC67FE"/>
    <w:rsid w:val="00EC67FF"/>
    <w:rsid w:val="00EC6857"/>
    <w:rsid w:val="00EC6A15"/>
    <w:rsid w:val="00EC7216"/>
    <w:rsid w:val="00EC7249"/>
    <w:rsid w:val="00EC7528"/>
    <w:rsid w:val="00EC781E"/>
    <w:rsid w:val="00EC79A0"/>
    <w:rsid w:val="00EC7F41"/>
    <w:rsid w:val="00ED0125"/>
    <w:rsid w:val="00ED030E"/>
    <w:rsid w:val="00ED07BC"/>
    <w:rsid w:val="00ED10BE"/>
    <w:rsid w:val="00ED122C"/>
    <w:rsid w:val="00ED12D1"/>
    <w:rsid w:val="00ED1354"/>
    <w:rsid w:val="00ED18CD"/>
    <w:rsid w:val="00ED193D"/>
    <w:rsid w:val="00ED1B72"/>
    <w:rsid w:val="00ED22F0"/>
    <w:rsid w:val="00ED278F"/>
    <w:rsid w:val="00ED2B9B"/>
    <w:rsid w:val="00ED2C63"/>
    <w:rsid w:val="00ED3003"/>
    <w:rsid w:val="00ED3382"/>
    <w:rsid w:val="00ED3C2E"/>
    <w:rsid w:val="00ED3D3B"/>
    <w:rsid w:val="00ED3F02"/>
    <w:rsid w:val="00ED40FC"/>
    <w:rsid w:val="00ED478D"/>
    <w:rsid w:val="00ED4806"/>
    <w:rsid w:val="00ED488F"/>
    <w:rsid w:val="00ED4A28"/>
    <w:rsid w:val="00ED4FE5"/>
    <w:rsid w:val="00ED597C"/>
    <w:rsid w:val="00ED5BDE"/>
    <w:rsid w:val="00ED61CB"/>
    <w:rsid w:val="00ED6402"/>
    <w:rsid w:val="00ED646A"/>
    <w:rsid w:val="00ED6498"/>
    <w:rsid w:val="00ED6542"/>
    <w:rsid w:val="00ED6E2F"/>
    <w:rsid w:val="00ED707F"/>
    <w:rsid w:val="00ED7210"/>
    <w:rsid w:val="00ED74A2"/>
    <w:rsid w:val="00ED767D"/>
    <w:rsid w:val="00ED786C"/>
    <w:rsid w:val="00ED78EA"/>
    <w:rsid w:val="00EE00AB"/>
    <w:rsid w:val="00EE021F"/>
    <w:rsid w:val="00EE0887"/>
    <w:rsid w:val="00EE0A3A"/>
    <w:rsid w:val="00EE0ABB"/>
    <w:rsid w:val="00EE0CD4"/>
    <w:rsid w:val="00EE0F2D"/>
    <w:rsid w:val="00EE11A4"/>
    <w:rsid w:val="00EE11C0"/>
    <w:rsid w:val="00EE1442"/>
    <w:rsid w:val="00EE1488"/>
    <w:rsid w:val="00EE1CE7"/>
    <w:rsid w:val="00EE24DC"/>
    <w:rsid w:val="00EE2574"/>
    <w:rsid w:val="00EE26AF"/>
    <w:rsid w:val="00EE26C6"/>
    <w:rsid w:val="00EE29D8"/>
    <w:rsid w:val="00EE2C36"/>
    <w:rsid w:val="00EE31C9"/>
    <w:rsid w:val="00EE34DC"/>
    <w:rsid w:val="00EE3874"/>
    <w:rsid w:val="00EE3B01"/>
    <w:rsid w:val="00EE3C45"/>
    <w:rsid w:val="00EE3CA8"/>
    <w:rsid w:val="00EE3DB4"/>
    <w:rsid w:val="00EE3FBD"/>
    <w:rsid w:val="00EE413D"/>
    <w:rsid w:val="00EE422C"/>
    <w:rsid w:val="00EE4519"/>
    <w:rsid w:val="00EE4765"/>
    <w:rsid w:val="00EE483A"/>
    <w:rsid w:val="00EE546A"/>
    <w:rsid w:val="00EE5527"/>
    <w:rsid w:val="00EE5706"/>
    <w:rsid w:val="00EE57BE"/>
    <w:rsid w:val="00EE5DAA"/>
    <w:rsid w:val="00EE6274"/>
    <w:rsid w:val="00EE63DD"/>
    <w:rsid w:val="00EE6704"/>
    <w:rsid w:val="00EE6738"/>
    <w:rsid w:val="00EE7382"/>
    <w:rsid w:val="00EE759E"/>
    <w:rsid w:val="00EE76D4"/>
    <w:rsid w:val="00EE79C9"/>
    <w:rsid w:val="00EE7A4F"/>
    <w:rsid w:val="00EE7E82"/>
    <w:rsid w:val="00EF0165"/>
    <w:rsid w:val="00EF02EF"/>
    <w:rsid w:val="00EF036A"/>
    <w:rsid w:val="00EF05EC"/>
    <w:rsid w:val="00EF080B"/>
    <w:rsid w:val="00EF0863"/>
    <w:rsid w:val="00EF102A"/>
    <w:rsid w:val="00EF15C0"/>
    <w:rsid w:val="00EF1624"/>
    <w:rsid w:val="00EF17A2"/>
    <w:rsid w:val="00EF1855"/>
    <w:rsid w:val="00EF18B8"/>
    <w:rsid w:val="00EF2ADD"/>
    <w:rsid w:val="00EF2B97"/>
    <w:rsid w:val="00EF2C61"/>
    <w:rsid w:val="00EF2D2A"/>
    <w:rsid w:val="00EF3196"/>
    <w:rsid w:val="00EF335E"/>
    <w:rsid w:val="00EF3807"/>
    <w:rsid w:val="00EF39BF"/>
    <w:rsid w:val="00EF3B02"/>
    <w:rsid w:val="00EF3C35"/>
    <w:rsid w:val="00EF3CDB"/>
    <w:rsid w:val="00EF3D79"/>
    <w:rsid w:val="00EF3E2F"/>
    <w:rsid w:val="00EF443A"/>
    <w:rsid w:val="00EF4917"/>
    <w:rsid w:val="00EF4DB6"/>
    <w:rsid w:val="00EF4EE3"/>
    <w:rsid w:val="00EF5157"/>
    <w:rsid w:val="00EF5344"/>
    <w:rsid w:val="00EF5358"/>
    <w:rsid w:val="00EF54A4"/>
    <w:rsid w:val="00EF56B7"/>
    <w:rsid w:val="00EF6011"/>
    <w:rsid w:val="00EF6366"/>
    <w:rsid w:val="00EF6682"/>
    <w:rsid w:val="00EF698B"/>
    <w:rsid w:val="00EF6BD5"/>
    <w:rsid w:val="00EF6E86"/>
    <w:rsid w:val="00EF75AF"/>
    <w:rsid w:val="00EF782A"/>
    <w:rsid w:val="00EF7DE7"/>
    <w:rsid w:val="00F0000F"/>
    <w:rsid w:val="00F0013E"/>
    <w:rsid w:val="00F00360"/>
    <w:rsid w:val="00F003FB"/>
    <w:rsid w:val="00F00509"/>
    <w:rsid w:val="00F00589"/>
    <w:rsid w:val="00F006EA"/>
    <w:rsid w:val="00F00709"/>
    <w:rsid w:val="00F00A46"/>
    <w:rsid w:val="00F00AF7"/>
    <w:rsid w:val="00F01066"/>
    <w:rsid w:val="00F01356"/>
    <w:rsid w:val="00F0135E"/>
    <w:rsid w:val="00F01441"/>
    <w:rsid w:val="00F0148F"/>
    <w:rsid w:val="00F01626"/>
    <w:rsid w:val="00F01891"/>
    <w:rsid w:val="00F01B83"/>
    <w:rsid w:val="00F01C8E"/>
    <w:rsid w:val="00F021D4"/>
    <w:rsid w:val="00F025BB"/>
    <w:rsid w:val="00F0272B"/>
    <w:rsid w:val="00F027AA"/>
    <w:rsid w:val="00F02A03"/>
    <w:rsid w:val="00F0314B"/>
    <w:rsid w:val="00F03195"/>
    <w:rsid w:val="00F033E6"/>
    <w:rsid w:val="00F0345C"/>
    <w:rsid w:val="00F03572"/>
    <w:rsid w:val="00F036B9"/>
    <w:rsid w:val="00F038A4"/>
    <w:rsid w:val="00F03C00"/>
    <w:rsid w:val="00F03D5A"/>
    <w:rsid w:val="00F04920"/>
    <w:rsid w:val="00F04A5D"/>
    <w:rsid w:val="00F04C0C"/>
    <w:rsid w:val="00F04DA3"/>
    <w:rsid w:val="00F04DC4"/>
    <w:rsid w:val="00F04EBE"/>
    <w:rsid w:val="00F04FB0"/>
    <w:rsid w:val="00F04FE2"/>
    <w:rsid w:val="00F05171"/>
    <w:rsid w:val="00F055B1"/>
    <w:rsid w:val="00F05604"/>
    <w:rsid w:val="00F05664"/>
    <w:rsid w:val="00F056BF"/>
    <w:rsid w:val="00F05975"/>
    <w:rsid w:val="00F05BFA"/>
    <w:rsid w:val="00F05F9A"/>
    <w:rsid w:val="00F06119"/>
    <w:rsid w:val="00F06690"/>
    <w:rsid w:val="00F0669D"/>
    <w:rsid w:val="00F068DA"/>
    <w:rsid w:val="00F069F4"/>
    <w:rsid w:val="00F06A0C"/>
    <w:rsid w:val="00F06B3B"/>
    <w:rsid w:val="00F06BAC"/>
    <w:rsid w:val="00F06C44"/>
    <w:rsid w:val="00F06EF0"/>
    <w:rsid w:val="00F072E0"/>
    <w:rsid w:val="00F072F2"/>
    <w:rsid w:val="00F073ED"/>
    <w:rsid w:val="00F07686"/>
    <w:rsid w:val="00F07694"/>
    <w:rsid w:val="00F077B9"/>
    <w:rsid w:val="00F07AE4"/>
    <w:rsid w:val="00F07AE9"/>
    <w:rsid w:val="00F07BDD"/>
    <w:rsid w:val="00F07CEB"/>
    <w:rsid w:val="00F07D03"/>
    <w:rsid w:val="00F10022"/>
    <w:rsid w:val="00F10279"/>
    <w:rsid w:val="00F10335"/>
    <w:rsid w:val="00F106A4"/>
    <w:rsid w:val="00F10818"/>
    <w:rsid w:val="00F10C61"/>
    <w:rsid w:val="00F10D16"/>
    <w:rsid w:val="00F10E5F"/>
    <w:rsid w:val="00F1105A"/>
    <w:rsid w:val="00F110D6"/>
    <w:rsid w:val="00F11127"/>
    <w:rsid w:val="00F11522"/>
    <w:rsid w:val="00F11665"/>
    <w:rsid w:val="00F11696"/>
    <w:rsid w:val="00F118F7"/>
    <w:rsid w:val="00F11A2C"/>
    <w:rsid w:val="00F11D46"/>
    <w:rsid w:val="00F11EC4"/>
    <w:rsid w:val="00F11ED7"/>
    <w:rsid w:val="00F12068"/>
    <w:rsid w:val="00F12280"/>
    <w:rsid w:val="00F124B2"/>
    <w:rsid w:val="00F125C4"/>
    <w:rsid w:val="00F12C4A"/>
    <w:rsid w:val="00F12D19"/>
    <w:rsid w:val="00F12FA2"/>
    <w:rsid w:val="00F131F8"/>
    <w:rsid w:val="00F1322C"/>
    <w:rsid w:val="00F13747"/>
    <w:rsid w:val="00F13AD9"/>
    <w:rsid w:val="00F13BAA"/>
    <w:rsid w:val="00F13E12"/>
    <w:rsid w:val="00F14086"/>
    <w:rsid w:val="00F1412A"/>
    <w:rsid w:val="00F1421F"/>
    <w:rsid w:val="00F142C8"/>
    <w:rsid w:val="00F14810"/>
    <w:rsid w:val="00F14D10"/>
    <w:rsid w:val="00F14D1C"/>
    <w:rsid w:val="00F14DA0"/>
    <w:rsid w:val="00F14F26"/>
    <w:rsid w:val="00F14F2B"/>
    <w:rsid w:val="00F15008"/>
    <w:rsid w:val="00F155EE"/>
    <w:rsid w:val="00F1575D"/>
    <w:rsid w:val="00F1588F"/>
    <w:rsid w:val="00F15B58"/>
    <w:rsid w:val="00F15EBA"/>
    <w:rsid w:val="00F161A5"/>
    <w:rsid w:val="00F164DD"/>
    <w:rsid w:val="00F16AF1"/>
    <w:rsid w:val="00F1713F"/>
    <w:rsid w:val="00F171EE"/>
    <w:rsid w:val="00F175C3"/>
    <w:rsid w:val="00F175D0"/>
    <w:rsid w:val="00F17CF9"/>
    <w:rsid w:val="00F200C9"/>
    <w:rsid w:val="00F203B1"/>
    <w:rsid w:val="00F203E4"/>
    <w:rsid w:val="00F20B58"/>
    <w:rsid w:val="00F20DDE"/>
    <w:rsid w:val="00F210E7"/>
    <w:rsid w:val="00F2130F"/>
    <w:rsid w:val="00F2145B"/>
    <w:rsid w:val="00F214D3"/>
    <w:rsid w:val="00F215B5"/>
    <w:rsid w:val="00F2165E"/>
    <w:rsid w:val="00F2174A"/>
    <w:rsid w:val="00F21795"/>
    <w:rsid w:val="00F217D7"/>
    <w:rsid w:val="00F21852"/>
    <w:rsid w:val="00F21ABC"/>
    <w:rsid w:val="00F21D8A"/>
    <w:rsid w:val="00F21E9D"/>
    <w:rsid w:val="00F2230A"/>
    <w:rsid w:val="00F22710"/>
    <w:rsid w:val="00F22949"/>
    <w:rsid w:val="00F22BE0"/>
    <w:rsid w:val="00F22C07"/>
    <w:rsid w:val="00F22C51"/>
    <w:rsid w:val="00F22D66"/>
    <w:rsid w:val="00F22F7C"/>
    <w:rsid w:val="00F2315E"/>
    <w:rsid w:val="00F231B4"/>
    <w:rsid w:val="00F231FF"/>
    <w:rsid w:val="00F2329F"/>
    <w:rsid w:val="00F237FA"/>
    <w:rsid w:val="00F23A5F"/>
    <w:rsid w:val="00F23E9E"/>
    <w:rsid w:val="00F23EFA"/>
    <w:rsid w:val="00F243DB"/>
    <w:rsid w:val="00F2450F"/>
    <w:rsid w:val="00F24954"/>
    <w:rsid w:val="00F24A47"/>
    <w:rsid w:val="00F24D58"/>
    <w:rsid w:val="00F24E0C"/>
    <w:rsid w:val="00F25200"/>
    <w:rsid w:val="00F25441"/>
    <w:rsid w:val="00F25B8F"/>
    <w:rsid w:val="00F25C4D"/>
    <w:rsid w:val="00F25E94"/>
    <w:rsid w:val="00F262BB"/>
    <w:rsid w:val="00F262E0"/>
    <w:rsid w:val="00F2690C"/>
    <w:rsid w:val="00F26A7B"/>
    <w:rsid w:val="00F26EEE"/>
    <w:rsid w:val="00F26F1B"/>
    <w:rsid w:val="00F26FA5"/>
    <w:rsid w:val="00F2748B"/>
    <w:rsid w:val="00F278DD"/>
    <w:rsid w:val="00F27949"/>
    <w:rsid w:val="00F27A6B"/>
    <w:rsid w:val="00F27AA9"/>
    <w:rsid w:val="00F27AD9"/>
    <w:rsid w:val="00F27B8B"/>
    <w:rsid w:val="00F27BF4"/>
    <w:rsid w:val="00F27F0A"/>
    <w:rsid w:val="00F3020D"/>
    <w:rsid w:val="00F30623"/>
    <w:rsid w:val="00F30645"/>
    <w:rsid w:val="00F30A1B"/>
    <w:rsid w:val="00F3120B"/>
    <w:rsid w:val="00F31615"/>
    <w:rsid w:val="00F318F0"/>
    <w:rsid w:val="00F319D4"/>
    <w:rsid w:val="00F32986"/>
    <w:rsid w:val="00F32EDE"/>
    <w:rsid w:val="00F33432"/>
    <w:rsid w:val="00F33437"/>
    <w:rsid w:val="00F33600"/>
    <w:rsid w:val="00F33725"/>
    <w:rsid w:val="00F3385A"/>
    <w:rsid w:val="00F33A4A"/>
    <w:rsid w:val="00F33DA8"/>
    <w:rsid w:val="00F34107"/>
    <w:rsid w:val="00F346F9"/>
    <w:rsid w:val="00F3481A"/>
    <w:rsid w:val="00F3485D"/>
    <w:rsid w:val="00F34D1B"/>
    <w:rsid w:val="00F34D2F"/>
    <w:rsid w:val="00F34E30"/>
    <w:rsid w:val="00F34EEE"/>
    <w:rsid w:val="00F34FEC"/>
    <w:rsid w:val="00F3554F"/>
    <w:rsid w:val="00F3575A"/>
    <w:rsid w:val="00F35C05"/>
    <w:rsid w:val="00F35D8E"/>
    <w:rsid w:val="00F35FF0"/>
    <w:rsid w:val="00F362A8"/>
    <w:rsid w:val="00F362D4"/>
    <w:rsid w:val="00F36706"/>
    <w:rsid w:val="00F36768"/>
    <w:rsid w:val="00F36A18"/>
    <w:rsid w:val="00F36B80"/>
    <w:rsid w:val="00F36BA2"/>
    <w:rsid w:val="00F36CCF"/>
    <w:rsid w:val="00F36E4A"/>
    <w:rsid w:val="00F37461"/>
    <w:rsid w:val="00F374F3"/>
    <w:rsid w:val="00F37640"/>
    <w:rsid w:val="00F37700"/>
    <w:rsid w:val="00F379CB"/>
    <w:rsid w:val="00F402FF"/>
    <w:rsid w:val="00F404CF"/>
    <w:rsid w:val="00F40728"/>
    <w:rsid w:val="00F40B9B"/>
    <w:rsid w:val="00F40E99"/>
    <w:rsid w:val="00F40FBB"/>
    <w:rsid w:val="00F40FC6"/>
    <w:rsid w:val="00F40FC8"/>
    <w:rsid w:val="00F4100C"/>
    <w:rsid w:val="00F41085"/>
    <w:rsid w:val="00F413A5"/>
    <w:rsid w:val="00F4187E"/>
    <w:rsid w:val="00F41C0A"/>
    <w:rsid w:val="00F41C55"/>
    <w:rsid w:val="00F41D0A"/>
    <w:rsid w:val="00F41F61"/>
    <w:rsid w:val="00F42280"/>
    <w:rsid w:val="00F42328"/>
    <w:rsid w:val="00F42466"/>
    <w:rsid w:val="00F42671"/>
    <w:rsid w:val="00F426C7"/>
    <w:rsid w:val="00F426E2"/>
    <w:rsid w:val="00F42D05"/>
    <w:rsid w:val="00F42D8C"/>
    <w:rsid w:val="00F43000"/>
    <w:rsid w:val="00F43215"/>
    <w:rsid w:val="00F432A0"/>
    <w:rsid w:val="00F4357C"/>
    <w:rsid w:val="00F43A46"/>
    <w:rsid w:val="00F4413E"/>
    <w:rsid w:val="00F44575"/>
    <w:rsid w:val="00F447EA"/>
    <w:rsid w:val="00F4481F"/>
    <w:rsid w:val="00F44C4E"/>
    <w:rsid w:val="00F45350"/>
    <w:rsid w:val="00F45750"/>
    <w:rsid w:val="00F45806"/>
    <w:rsid w:val="00F45B4C"/>
    <w:rsid w:val="00F45B97"/>
    <w:rsid w:val="00F45EF1"/>
    <w:rsid w:val="00F4610D"/>
    <w:rsid w:val="00F4615F"/>
    <w:rsid w:val="00F468DE"/>
    <w:rsid w:val="00F46C22"/>
    <w:rsid w:val="00F46E8B"/>
    <w:rsid w:val="00F47030"/>
    <w:rsid w:val="00F475AB"/>
    <w:rsid w:val="00F476C6"/>
    <w:rsid w:val="00F47973"/>
    <w:rsid w:val="00F479F6"/>
    <w:rsid w:val="00F47AC6"/>
    <w:rsid w:val="00F47F7D"/>
    <w:rsid w:val="00F504AC"/>
    <w:rsid w:val="00F5069F"/>
    <w:rsid w:val="00F50A27"/>
    <w:rsid w:val="00F50B96"/>
    <w:rsid w:val="00F50CB0"/>
    <w:rsid w:val="00F50DCD"/>
    <w:rsid w:val="00F50E26"/>
    <w:rsid w:val="00F510B9"/>
    <w:rsid w:val="00F51149"/>
    <w:rsid w:val="00F513E1"/>
    <w:rsid w:val="00F515FB"/>
    <w:rsid w:val="00F51795"/>
    <w:rsid w:val="00F5194D"/>
    <w:rsid w:val="00F51BD7"/>
    <w:rsid w:val="00F51D23"/>
    <w:rsid w:val="00F52157"/>
    <w:rsid w:val="00F5233D"/>
    <w:rsid w:val="00F525CF"/>
    <w:rsid w:val="00F527FC"/>
    <w:rsid w:val="00F52FA8"/>
    <w:rsid w:val="00F52FFE"/>
    <w:rsid w:val="00F53079"/>
    <w:rsid w:val="00F5312F"/>
    <w:rsid w:val="00F533F3"/>
    <w:rsid w:val="00F537FD"/>
    <w:rsid w:val="00F53998"/>
    <w:rsid w:val="00F53A21"/>
    <w:rsid w:val="00F53CBE"/>
    <w:rsid w:val="00F53E2E"/>
    <w:rsid w:val="00F53E57"/>
    <w:rsid w:val="00F540AC"/>
    <w:rsid w:val="00F541EB"/>
    <w:rsid w:val="00F5440F"/>
    <w:rsid w:val="00F545CB"/>
    <w:rsid w:val="00F54657"/>
    <w:rsid w:val="00F54973"/>
    <w:rsid w:val="00F54D2B"/>
    <w:rsid w:val="00F552B2"/>
    <w:rsid w:val="00F554A4"/>
    <w:rsid w:val="00F55549"/>
    <w:rsid w:val="00F5570B"/>
    <w:rsid w:val="00F55A67"/>
    <w:rsid w:val="00F55C2F"/>
    <w:rsid w:val="00F55EC8"/>
    <w:rsid w:val="00F568B8"/>
    <w:rsid w:val="00F56C5B"/>
    <w:rsid w:val="00F56CAA"/>
    <w:rsid w:val="00F56DC0"/>
    <w:rsid w:val="00F56E16"/>
    <w:rsid w:val="00F57340"/>
    <w:rsid w:val="00F57C0D"/>
    <w:rsid w:val="00F57EB4"/>
    <w:rsid w:val="00F6003F"/>
    <w:rsid w:val="00F6021C"/>
    <w:rsid w:val="00F60452"/>
    <w:rsid w:val="00F607D2"/>
    <w:rsid w:val="00F608E7"/>
    <w:rsid w:val="00F60CC2"/>
    <w:rsid w:val="00F60CD8"/>
    <w:rsid w:val="00F60F06"/>
    <w:rsid w:val="00F612C8"/>
    <w:rsid w:val="00F612C9"/>
    <w:rsid w:val="00F613AC"/>
    <w:rsid w:val="00F615EA"/>
    <w:rsid w:val="00F61DD2"/>
    <w:rsid w:val="00F61DE6"/>
    <w:rsid w:val="00F62348"/>
    <w:rsid w:val="00F623C8"/>
    <w:rsid w:val="00F62B08"/>
    <w:rsid w:val="00F62FE4"/>
    <w:rsid w:val="00F631E7"/>
    <w:rsid w:val="00F6377A"/>
    <w:rsid w:val="00F63F6E"/>
    <w:rsid w:val="00F6422F"/>
    <w:rsid w:val="00F6475F"/>
    <w:rsid w:val="00F647DB"/>
    <w:rsid w:val="00F64903"/>
    <w:rsid w:val="00F64A06"/>
    <w:rsid w:val="00F6510C"/>
    <w:rsid w:val="00F6567A"/>
    <w:rsid w:val="00F657CC"/>
    <w:rsid w:val="00F65BFC"/>
    <w:rsid w:val="00F65D2B"/>
    <w:rsid w:val="00F65E28"/>
    <w:rsid w:val="00F65E49"/>
    <w:rsid w:val="00F660C3"/>
    <w:rsid w:val="00F661D6"/>
    <w:rsid w:val="00F66507"/>
    <w:rsid w:val="00F66A3B"/>
    <w:rsid w:val="00F66B88"/>
    <w:rsid w:val="00F66BE4"/>
    <w:rsid w:val="00F66F9F"/>
    <w:rsid w:val="00F66FE7"/>
    <w:rsid w:val="00F6709B"/>
    <w:rsid w:val="00F672B6"/>
    <w:rsid w:val="00F675D6"/>
    <w:rsid w:val="00F67828"/>
    <w:rsid w:val="00F6787B"/>
    <w:rsid w:val="00F679AF"/>
    <w:rsid w:val="00F7000C"/>
    <w:rsid w:val="00F7008D"/>
    <w:rsid w:val="00F70CCE"/>
    <w:rsid w:val="00F70D3E"/>
    <w:rsid w:val="00F70FDA"/>
    <w:rsid w:val="00F71008"/>
    <w:rsid w:val="00F710D6"/>
    <w:rsid w:val="00F71100"/>
    <w:rsid w:val="00F71582"/>
    <w:rsid w:val="00F71645"/>
    <w:rsid w:val="00F71854"/>
    <w:rsid w:val="00F71C10"/>
    <w:rsid w:val="00F72155"/>
    <w:rsid w:val="00F72259"/>
    <w:rsid w:val="00F724A7"/>
    <w:rsid w:val="00F725B2"/>
    <w:rsid w:val="00F725CE"/>
    <w:rsid w:val="00F727A5"/>
    <w:rsid w:val="00F728D0"/>
    <w:rsid w:val="00F72BC1"/>
    <w:rsid w:val="00F72C1F"/>
    <w:rsid w:val="00F73431"/>
    <w:rsid w:val="00F73765"/>
    <w:rsid w:val="00F739E0"/>
    <w:rsid w:val="00F74642"/>
    <w:rsid w:val="00F7494C"/>
    <w:rsid w:val="00F74A32"/>
    <w:rsid w:val="00F74A48"/>
    <w:rsid w:val="00F74AB3"/>
    <w:rsid w:val="00F74C46"/>
    <w:rsid w:val="00F74D77"/>
    <w:rsid w:val="00F7501D"/>
    <w:rsid w:val="00F750CC"/>
    <w:rsid w:val="00F75211"/>
    <w:rsid w:val="00F7526E"/>
    <w:rsid w:val="00F756A2"/>
    <w:rsid w:val="00F75823"/>
    <w:rsid w:val="00F75933"/>
    <w:rsid w:val="00F75B03"/>
    <w:rsid w:val="00F761DC"/>
    <w:rsid w:val="00F762B5"/>
    <w:rsid w:val="00F76684"/>
    <w:rsid w:val="00F76716"/>
    <w:rsid w:val="00F76905"/>
    <w:rsid w:val="00F76ADE"/>
    <w:rsid w:val="00F76B24"/>
    <w:rsid w:val="00F76F1D"/>
    <w:rsid w:val="00F77152"/>
    <w:rsid w:val="00F7768E"/>
    <w:rsid w:val="00F776FD"/>
    <w:rsid w:val="00F77B79"/>
    <w:rsid w:val="00F77C39"/>
    <w:rsid w:val="00F77D4E"/>
    <w:rsid w:val="00F77DC4"/>
    <w:rsid w:val="00F80259"/>
    <w:rsid w:val="00F8065E"/>
    <w:rsid w:val="00F80A42"/>
    <w:rsid w:val="00F80B14"/>
    <w:rsid w:val="00F81045"/>
    <w:rsid w:val="00F81127"/>
    <w:rsid w:val="00F815D9"/>
    <w:rsid w:val="00F81978"/>
    <w:rsid w:val="00F81A7F"/>
    <w:rsid w:val="00F81CE3"/>
    <w:rsid w:val="00F824C8"/>
    <w:rsid w:val="00F8274D"/>
    <w:rsid w:val="00F82B52"/>
    <w:rsid w:val="00F82C44"/>
    <w:rsid w:val="00F82FDE"/>
    <w:rsid w:val="00F8339B"/>
    <w:rsid w:val="00F83444"/>
    <w:rsid w:val="00F834EC"/>
    <w:rsid w:val="00F8351C"/>
    <w:rsid w:val="00F83A88"/>
    <w:rsid w:val="00F83B20"/>
    <w:rsid w:val="00F83CCA"/>
    <w:rsid w:val="00F83D24"/>
    <w:rsid w:val="00F83E33"/>
    <w:rsid w:val="00F83E7B"/>
    <w:rsid w:val="00F83F8E"/>
    <w:rsid w:val="00F8413C"/>
    <w:rsid w:val="00F842D1"/>
    <w:rsid w:val="00F84A29"/>
    <w:rsid w:val="00F85044"/>
    <w:rsid w:val="00F8547E"/>
    <w:rsid w:val="00F854EE"/>
    <w:rsid w:val="00F85733"/>
    <w:rsid w:val="00F85AC4"/>
    <w:rsid w:val="00F85F2D"/>
    <w:rsid w:val="00F8604A"/>
    <w:rsid w:val="00F864BB"/>
    <w:rsid w:val="00F8656C"/>
    <w:rsid w:val="00F8666F"/>
    <w:rsid w:val="00F86A6D"/>
    <w:rsid w:val="00F86C8F"/>
    <w:rsid w:val="00F8720C"/>
    <w:rsid w:val="00F87396"/>
    <w:rsid w:val="00F8779A"/>
    <w:rsid w:val="00F87865"/>
    <w:rsid w:val="00F879C3"/>
    <w:rsid w:val="00F87CA6"/>
    <w:rsid w:val="00F87E71"/>
    <w:rsid w:val="00F87FE3"/>
    <w:rsid w:val="00F9008E"/>
    <w:rsid w:val="00F900C3"/>
    <w:rsid w:val="00F9011F"/>
    <w:rsid w:val="00F90447"/>
    <w:rsid w:val="00F904EC"/>
    <w:rsid w:val="00F9092F"/>
    <w:rsid w:val="00F90C58"/>
    <w:rsid w:val="00F9107A"/>
    <w:rsid w:val="00F910AE"/>
    <w:rsid w:val="00F91141"/>
    <w:rsid w:val="00F913C1"/>
    <w:rsid w:val="00F91475"/>
    <w:rsid w:val="00F91D03"/>
    <w:rsid w:val="00F921DE"/>
    <w:rsid w:val="00F92296"/>
    <w:rsid w:val="00F922A6"/>
    <w:rsid w:val="00F927DC"/>
    <w:rsid w:val="00F92934"/>
    <w:rsid w:val="00F92F6E"/>
    <w:rsid w:val="00F94587"/>
    <w:rsid w:val="00F94A92"/>
    <w:rsid w:val="00F95799"/>
    <w:rsid w:val="00F9590A"/>
    <w:rsid w:val="00F95C51"/>
    <w:rsid w:val="00F96080"/>
    <w:rsid w:val="00F96335"/>
    <w:rsid w:val="00F9653C"/>
    <w:rsid w:val="00F96E3E"/>
    <w:rsid w:val="00F973F2"/>
    <w:rsid w:val="00F973F4"/>
    <w:rsid w:val="00F975F1"/>
    <w:rsid w:val="00F97D5C"/>
    <w:rsid w:val="00F97E75"/>
    <w:rsid w:val="00F97EA2"/>
    <w:rsid w:val="00FA07F9"/>
    <w:rsid w:val="00FA0B45"/>
    <w:rsid w:val="00FA0CF1"/>
    <w:rsid w:val="00FA0E26"/>
    <w:rsid w:val="00FA0FC5"/>
    <w:rsid w:val="00FA143E"/>
    <w:rsid w:val="00FA1633"/>
    <w:rsid w:val="00FA1B86"/>
    <w:rsid w:val="00FA1C2C"/>
    <w:rsid w:val="00FA1D39"/>
    <w:rsid w:val="00FA1E2B"/>
    <w:rsid w:val="00FA1FB6"/>
    <w:rsid w:val="00FA20BA"/>
    <w:rsid w:val="00FA230E"/>
    <w:rsid w:val="00FA2A97"/>
    <w:rsid w:val="00FA34BE"/>
    <w:rsid w:val="00FA3761"/>
    <w:rsid w:val="00FA3E06"/>
    <w:rsid w:val="00FA3E1F"/>
    <w:rsid w:val="00FA3FF7"/>
    <w:rsid w:val="00FA429E"/>
    <w:rsid w:val="00FA49E4"/>
    <w:rsid w:val="00FA4D76"/>
    <w:rsid w:val="00FA5090"/>
    <w:rsid w:val="00FA525E"/>
    <w:rsid w:val="00FA530A"/>
    <w:rsid w:val="00FA5595"/>
    <w:rsid w:val="00FA559F"/>
    <w:rsid w:val="00FA56C9"/>
    <w:rsid w:val="00FA57BB"/>
    <w:rsid w:val="00FA5A84"/>
    <w:rsid w:val="00FA5D8E"/>
    <w:rsid w:val="00FA5E6F"/>
    <w:rsid w:val="00FA6476"/>
    <w:rsid w:val="00FA66C7"/>
    <w:rsid w:val="00FA6BEF"/>
    <w:rsid w:val="00FA6CAC"/>
    <w:rsid w:val="00FA6E20"/>
    <w:rsid w:val="00FA7044"/>
    <w:rsid w:val="00FA70F2"/>
    <w:rsid w:val="00FA7100"/>
    <w:rsid w:val="00FA72A2"/>
    <w:rsid w:val="00FA73D6"/>
    <w:rsid w:val="00FA74DB"/>
    <w:rsid w:val="00FA74FF"/>
    <w:rsid w:val="00FA780B"/>
    <w:rsid w:val="00FA797B"/>
    <w:rsid w:val="00FA7BAC"/>
    <w:rsid w:val="00FA7C19"/>
    <w:rsid w:val="00FA7F2E"/>
    <w:rsid w:val="00FB0952"/>
    <w:rsid w:val="00FB09D0"/>
    <w:rsid w:val="00FB0A1D"/>
    <w:rsid w:val="00FB107F"/>
    <w:rsid w:val="00FB11E0"/>
    <w:rsid w:val="00FB1781"/>
    <w:rsid w:val="00FB21DA"/>
    <w:rsid w:val="00FB256B"/>
    <w:rsid w:val="00FB28DD"/>
    <w:rsid w:val="00FB2A44"/>
    <w:rsid w:val="00FB2D77"/>
    <w:rsid w:val="00FB361F"/>
    <w:rsid w:val="00FB3706"/>
    <w:rsid w:val="00FB3766"/>
    <w:rsid w:val="00FB3DE8"/>
    <w:rsid w:val="00FB3F70"/>
    <w:rsid w:val="00FB4054"/>
    <w:rsid w:val="00FB41F3"/>
    <w:rsid w:val="00FB4410"/>
    <w:rsid w:val="00FB4572"/>
    <w:rsid w:val="00FB48D4"/>
    <w:rsid w:val="00FB4A7F"/>
    <w:rsid w:val="00FB4AFD"/>
    <w:rsid w:val="00FB4CFF"/>
    <w:rsid w:val="00FB506C"/>
    <w:rsid w:val="00FB531B"/>
    <w:rsid w:val="00FB531C"/>
    <w:rsid w:val="00FB5373"/>
    <w:rsid w:val="00FB559A"/>
    <w:rsid w:val="00FB5CBE"/>
    <w:rsid w:val="00FB5D9B"/>
    <w:rsid w:val="00FB65C9"/>
    <w:rsid w:val="00FB65D4"/>
    <w:rsid w:val="00FB6B2C"/>
    <w:rsid w:val="00FB71B8"/>
    <w:rsid w:val="00FB73ED"/>
    <w:rsid w:val="00FB74FC"/>
    <w:rsid w:val="00FB78B1"/>
    <w:rsid w:val="00FB7A42"/>
    <w:rsid w:val="00FB7CDE"/>
    <w:rsid w:val="00FB7D3D"/>
    <w:rsid w:val="00FB7E35"/>
    <w:rsid w:val="00FB7F47"/>
    <w:rsid w:val="00FB7F68"/>
    <w:rsid w:val="00FB7F7F"/>
    <w:rsid w:val="00FC0228"/>
    <w:rsid w:val="00FC0450"/>
    <w:rsid w:val="00FC04D9"/>
    <w:rsid w:val="00FC0735"/>
    <w:rsid w:val="00FC0871"/>
    <w:rsid w:val="00FC0B4D"/>
    <w:rsid w:val="00FC0D8D"/>
    <w:rsid w:val="00FC0EAE"/>
    <w:rsid w:val="00FC10E4"/>
    <w:rsid w:val="00FC1128"/>
    <w:rsid w:val="00FC13CF"/>
    <w:rsid w:val="00FC1CDB"/>
    <w:rsid w:val="00FC200B"/>
    <w:rsid w:val="00FC2012"/>
    <w:rsid w:val="00FC2049"/>
    <w:rsid w:val="00FC21B8"/>
    <w:rsid w:val="00FC220E"/>
    <w:rsid w:val="00FC27B2"/>
    <w:rsid w:val="00FC27C3"/>
    <w:rsid w:val="00FC27C8"/>
    <w:rsid w:val="00FC27EC"/>
    <w:rsid w:val="00FC2BBE"/>
    <w:rsid w:val="00FC2E57"/>
    <w:rsid w:val="00FC2F3C"/>
    <w:rsid w:val="00FC2F8D"/>
    <w:rsid w:val="00FC31CC"/>
    <w:rsid w:val="00FC3392"/>
    <w:rsid w:val="00FC351C"/>
    <w:rsid w:val="00FC36AC"/>
    <w:rsid w:val="00FC3711"/>
    <w:rsid w:val="00FC3743"/>
    <w:rsid w:val="00FC3794"/>
    <w:rsid w:val="00FC3CBD"/>
    <w:rsid w:val="00FC3F2B"/>
    <w:rsid w:val="00FC3F38"/>
    <w:rsid w:val="00FC3F40"/>
    <w:rsid w:val="00FC3F7E"/>
    <w:rsid w:val="00FC3FE5"/>
    <w:rsid w:val="00FC4093"/>
    <w:rsid w:val="00FC40F2"/>
    <w:rsid w:val="00FC4559"/>
    <w:rsid w:val="00FC4940"/>
    <w:rsid w:val="00FC4CDB"/>
    <w:rsid w:val="00FC4E1F"/>
    <w:rsid w:val="00FC52D6"/>
    <w:rsid w:val="00FC5373"/>
    <w:rsid w:val="00FC5579"/>
    <w:rsid w:val="00FC5BAB"/>
    <w:rsid w:val="00FC5C6F"/>
    <w:rsid w:val="00FC5CF0"/>
    <w:rsid w:val="00FC5E00"/>
    <w:rsid w:val="00FC5F5E"/>
    <w:rsid w:val="00FC73D8"/>
    <w:rsid w:val="00FC7617"/>
    <w:rsid w:val="00FC765F"/>
    <w:rsid w:val="00FC78C9"/>
    <w:rsid w:val="00FC7BDD"/>
    <w:rsid w:val="00FC7BE9"/>
    <w:rsid w:val="00FC7D83"/>
    <w:rsid w:val="00FC7FD1"/>
    <w:rsid w:val="00FD051C"/>
    <w:rsid w:val="00FD06C7"/>
    <w:rsid w:val="00FD085A"/>
    <w:rsid w:val="00FD0962"/>
    <w:rsid w:val="00FD1073"/>
    <w:rsid w:val="00FD11C2"/>
    <w:rsid w:val="00FD163E"/>
    <w:rsid w:val="00FD1779"/>
    <w:rsid w:val="00FD1872"/>
    <w:rsid w:val="00FD18D2"/>
    <w:rsid w:val="00FD1994"/>
    <w:rsid w:val="00FD1BF6"/>
    <w:rsid w:val="00FD1CF8"/>
    <w:rsid w:val="00FD1E67"/>
    <w:rsid w:val="00FD1EDA"/>
    <w:rsid w:val="00FD217E"/>
    <w:rsid w:val="00FD27B2"/>
    <w:rsid w:val="00FD286E"/>
    <w:rsid w:val="00FD2909"/>
    <w:rsid w:val="00FD2926"/>
    <w:rsid w:val="00FD292B"/>
    <w:rsid w:val="00FD29B7"/>
    <w:rsid w:val="00FD2BC6"/>
    <w:rsid w:val="00FD2FB6"/>
    <w:rsid w:val="00FD2FD9"/>
    <w:rsid w:val="00FD3987"/>
    <w:rsid w:val="00FD3D3B"/>
    <w:rsid w:val="00FD4046"/>
    <w:rsid w:val="00FD4276"/>
    <w:rsid w:val="00FD4727"/>
    <w:rsid w:val="00FD48A9"/>
    <w:rsid w:val="00FD4C12"/>
    <w:rsid w:val="00FD4EE6"/>
    <w:rsid w:val="00FD5328"/>
    <w:rsid w:val="00FD612F"/>
    <w:rsid w:val="00FD6495"/>
    <w:rsid w:val="00FD6922"/>
    <w:rsid w:val="00FD6B98"/>
    <w:rsid w:val="00FD6D61"/>
    <w:rsid w:val="00FD6ED6"/>
    <w:rsid w:val="00FD70B5"/>
    <w:rsid w:val="00FD71C6"/>
    <w:rsid w:val="00FD7599"/>
    <w:rsid w:val="00FD75F9"/>
    <w:rsid w:val="00FD7641"/>
    <w:rsid w:val="00FD76D5"/>
    <w:rsid w:val="00FD7A3B"/>
    <w:rsid w:val="00FE0006"/>
    <w:rsid w:val="00FE0031"/>
    <w:rsid w:val="00FE04C3"/>
    <w:rsid w:val="00FE04FC"/>
    <w:rsid w:val="00FE0816"/>
    <w:rsid w:val="00FE0A22"/>
    <w:rsid w:val="00FE0E99"/>
    <w:rsid w:val="00FE19EA"/>
    <w:rsid w:val="00FE1B26"/>
    <w:rsid w:val="00FE1D60"/>
    <w:rsid w:val="00FE1E58"/>
    <w:rsid w:val="00FE1EA6"/>
    <w:rsid w:val="00FE2337"/>
    <w:rsid w:val="00FE294E"/>
    <w:rsid w:val="00FE2A22"/>
    <w:rsid w:val="00FE2B6A"/>
    <w:rsid w:val="00FE2BCE"/>
    <w:rsid w:val="00FE2FA3"/>
    <w:rsid w:val="00FE2FD2"/>
    <w:rsid w:val="00FE324F"/>
    <w:rsid w:val="00FE32D8"/>
    <w:rsid w:val="00FE352C"/>
    <w:rsid w:val="00FE3577"/>
    <w:rsid w:val="00FE35FD"/>
    <w:rsid w:val="00FE382A"/>
    <w:rsid w:val="00FE3BF1"/>
    <w:rsid w:val="00FE4251"/>
    <w:rsid w:val="00FE42E0"/>
    <w:rsid w:val="00FE430B"/>
    <w:rsid w:val="00FE519C"/>
    <w:rsid w:val="00FE5403"/>
    <w:rsid w:val="00FE5727"/>
    <w:rsid w:val="00FE57C2"/>
    <w:rsid w:val="00FE6BA1"/>
    <w:rsid w:val="00FE761F"/>
    <w:rsid w:val="00FE779E"/>
    <w:rsid w:val="00FE7B9A"/>
    <w:rsid w:val="00FF00BE"/>
    <w:rsid w:val="00FF04D0"/>
    <w:rsid w:val="00FF0943"/>
    <w:rsid w:val="00FF0CC5"/>
    <w:rsid w:val="00FF13C7"/>
    <w:rsid w:val="00FF1459"/>
    <w:rsid w:val="00FF1734"/>
    <w:rsid w:val="00FF1A57"/>
    <w:rsid w:val="00FF1C84"/>
    <w:rsid w:val="00FF1D45"/>
    <w:rsid w:val="00FF1F57"/>
    <w:rsid w:val="00FF206C"/>
    <w:rsid w:val="00FF20D2"/>
    <w:rsid w:val="00FF23DA"/>
    <w:rsid w:val="00FF24B2"/>
    <w:rsid w:val="00FF2A2F"/>
    <w:rsid w:val="00FF2B3C"/>
    <w:rsid w:val="00FF3027"/>
    <w:rsid w:val="00FF30C0"/>
    <w:rsid w:val="00FF32A1"/>
    <w:rsid w:val="00FF35BD"/>
    <w:rsid w:val="00FF38F2"/>
    <w:rsid w:val="00FF3947"/>
    <w:rsid w:val="00FF3D18"/>
    <w:rsid w:val="00FF3D91"/>
    <w:rsid w:val="00FF3E33"/>
    <w:rsid w:val="00FF3FCD"/>
    <w:rsid w:val="00FF4131"/>
    <w:rsid w:val="00FF41BA"/>
    <w:rsid w:val="00FF43B5"/>
    <w:rsid w:val="00FF4991"/>
    <w:rsid w:val="00FF4A58"/>
    <w:rsid w:val="00FF4C45"/>
    <w:rsid w:val="00FF4E89"/>
    <w:rsid w:val="00FF517E"/>
    <w:rsid w:val="00FF5343"/>
    <w:rsid w:val="00FF5D6E"/>
    <w:rsid w:val="00FF60E9"/>
    <w:rsid w:val="00FF62BE"/>
    <w:rsid w:val="00FF69B7"/>
    <w:rsid w:val="00FF71FA"/>
    <w:rsid w:val="00FF7310"/>
    <w:rsid w:val="00FF7C84"/>
    <w:rsid w:val="00FF7D6F"/>
    <w:rsid w:val="00FF7F61"/>
    <w:rsid w:val="01146ACB"/>
    <w:rsid w:val="016D1F53"/>
    <w:rsid w:val="044CFAB9"/>
    <w:rsid w:val="0474166D"/>
    <w:rsid w:val="04B2745E"/>
    <w:rsid w:val="05573AEE"/>
    <w:rsid w:val="06DB8E24"/>
    <w:rsid w:val="06DF82F9"/>
    <w:rsid w:val="0705F20A"/>
    <w:rsid w:val="0738D402"/>
    <w:rsid w:val="0757A10B"/>
    <w:rsid w:val="07CE310D"/>
    <w:rsid w:val="07E0B777"/>
    <w:rsid w:val="07F875F5"/>
    <w:rsid w:val="09F06435"/>
    <w:rsid w:val="0A1BF7DE"/>
    <w:rsid w:val="0A311F81"/>
    <w:rsid w:val="0B3B1EB1"/>
    <w:rsid w:val="0B61D81F"/>
    <w:rsid w:val="0BB07454"/>
    <w:rsid w:val="0CE81FE8"/>
    <w:rsid w:val="0DBBE2EC"/>
    <w:rsid w:val="0E13112E"/>
    <w:rsid w:val="0E86F289"/>
    <w:rsid w:val="0EE31C11"/>
    <w:rsid w:val="0EFF820C"/>
    <w:rsid w:val="1182DA2E"/>
    <w:rsid w:val="11896420"/>
    <w:rsid w:val="1285CE4B"/>
    <w:rsid w:val="12E92E07"/>
    <w:rsid w:val="14652796"/>
    <w:rsid w:val="146B5851"/>
    <w:rsid w:val="148554D0"/>
    <w:rsid w:val="14B77C2C"/>
    <w:rsid w:val="1580CF07"/>
    <w:rsid w:val="15A643BD"/>
    <w:rsid w:val="1685A1B5"/>
    <w:rsid w:val="16AAF20C"/>
    <w:rsid w:val="17527CA6"/>
    <w:rsid w:val="17DDA77E"/>
    <w:rsid w:val="17E9288E"/>
    <w:rsid w:val="18D75B31"/>
    <w:rsid w:val="19BC6D33"/>
    <w:rsid w:val="19F4105C"/>
    <w:rsid w:val="1A5E8590"/>
    <w:rsid w:val="1AA7069E"/>
    <w:rsid w:val="1AF97AF8"/>
    <w:rsid w:val="1B657B61"/>
    <w:rsid w:val="1C07AD5B"/>
    <w:rsid w:val="1C45971F"/>
    <w:rsid w:val="1D2F1DD2"/>
    <w:rsid w:val="1D438ADE"/>
    <w:rsid w:val="1E0192CF"/>
    <w:rsid w:val="1EEAABFF"/>
    <w:rsid w:val="1FD36B35"/>
    <w:rsid w:val="2016D48F"/>
    <w:rsid w:val="228E9D3E"/>
    <w:rsid w:val="22C25C2C"/>
    <w:rsid w:val="22C90304"/>
    <w:rsid w:val="2393813A"/>
    <w:rsid w:val="2407E67E"/>
    <w:rsid w:val="253113CF"/>
    <w:rsid w:val="2645E6C2"/>
    <w:rsid w:val="264F912C"/>
    <w:rsid w:val="268845C8"/>
    <w:rsid w:val="270EF9CE"/>
    <w:rsid w:val="27F60A43"/>
    <w:rsid w:val="2807F84E"/>
    <w:rsid w:val="2930B8A1"/>
    <w:rsid w:val="29861A7B"/>
    <w:rsid w:val="29C4FB09"/>
    <w:rsid w:val="2AAB66E1"/>
    <w:rsid w:val="2B6FEAA6"/>
    <w:rsid w:val="2B9E1456"/>
    <w:rsid w:val="2D5610D0"/>
    <w:rsid w:val="2DB950BF"/>
    <w:rsid w:val="2DF78A05"/>
    <w:rsid w:val="2E0354D5"/>
    <w:rsid w:val="2F5E6EE8"/>
    <w:rsid w:val="2F64BF01"/>
    <w:rsid w:val="2FF5A680"/>
    <w:rsid w:val="303AAFF5"/>
    <w:rsid w:val="308F721D"/>
    <w:rsid w:val="30C355F2"/>
    <w:rsid w:val="31996CF9"/>
    <w:rsid w:val="31B45540"/>
    <w:rsid w:val="327E7033"/>
    <w:rsid w:val="34889A20"/>
    <w:rsid w:val="3499068F"/>
    <w:rsid w:val="352F2CA9"/>
    <w:rsid w:val="354F69ED"/>
    <w:rsid w:val="3584C89C"/>
    <w:rsid w:val="35B0A088"/>
    <w:rsid w:val="35C3736B"/>
    <w:rsid w:val="3685EB32"/>
    <w:rsid w:val="37465D50"/>
    <w:rsid w:val="378376B3"/>
    <w:rsid w:val="378AC2A8"/>
    <w:rsid w:val="3955BBE1"/>
    <w:rsid w:val="3A018601"/>
    <w:rsid w:val="3B671C65"/>
    <w:rsid w:val="3B893B7F"/>
    <w:rsid w:val="3E92D6C9"/>
    <w:rsid w:val="3F083721"/>
    <w:rsid w:val="3F618050"/>
    <w:rsid w:val="40B1F368"/>
    <w:rsid w:val="41D22A80"/>
    <w:rsid w:val="42171890"/>
    <w:rsid w:val="42BE76EB"/>
    <w:rsid w:val="440EF093"/>
    <w:rsid w:val="44398806"/>
    <w:rsid w:val="443AB4DD"/>
    <w:rsid w:val="44A92A4F"/>
    <w:rsid w:val="4514C4FF"/>
    <w:rsid w:val="45239522"/>
    <w:rsid w:val="453891E0"/>
    <w:rsid w:val="46F5136E"/>
    <w:rsid w:val="471F6F75"/>
    <w:rsid w:val="480B5EE1"/>
    <w:rsid w:val="486585AD"/>
    <w:rsid w:val="4927B89A"/>
    <w:rsid w:val="4AA8D16E"/>
    <w:rsid w:val="4D30C4CB"/>
    <w:rsid w:val="4DE033A1"/>
    <w:rsid w:val="51A9B9F5"/>
    <w:rsid w:val="553F31E5"/>
    <w:rsid w:val="56419C36"/>
    <w:rsid w:val="5647CBE9"/>
    <w:rsid w:val="5674490B"/>
    <w:rsid w:val="56B0D70A"/>
    <w:rsid w:val="56E8F09D"/>
    <w:rsid w:val="56EE74EB"/>
    <w:rsid w:val="580DD435"/>
    <w:rsid w:val="5931E388"/>
    <w:rsid w:val="5966EF32"/>
    <w:rsid w:val="59D81409"/>
    <w:rsid w:val="5A266337"/>
    <w:rsid w:val="5B6E138F"/>
    <w:rsid w:val="5B85B820"/>
    <w:rsid w:val="5C7EAC22"/>
    <w:rsid w:val="5E351E41"/>
    <w:rsid w:val="5F2F118D"/>
    <w:rsid w:val="5F597209"/>
    <w:rsid w:val="5F5DD4AD"/>
    <w:rsid w:val="5F94A0B8"/>
    <w:rsid w:val="60A98AAD"/>
    <w:rsid w:val="60B1F51E"/>
    <w:rsid w:val="61653A1A"/>
    <w:rsid w:val="61726842"/>
    <w:rsid w:val="61C5FC24"/>
    <w:rsid w:val="61E50BE5"/>
    <w:rsid w:val="625948F0"/>
    <w:rsid w:val="63E70D51"/>
    <w:rsid w:val="641278A3"/>
    <w:rsid w:val="653E736F"/>
    <w:rsid w:val="669742E8"/>
    <w:rsid w:val="66D37C61"/>
    <w:rsid w:val="677541E7"/>
    <w:rsid w:val="67D009DB"/>
    <w:rsid w:val="68C8EBCA"/>
    <w:rsid w:val="68E4A118"/>
    <w:rsid w:val="6925B480"/>
    <w:rsid w:val="694CBCDD"/>
    <w:rsid w:val="6A6ADF6D"/>
    <w:rsid w:val="6AB97EA4"/>
    <w:rsid w:val="6C1A5698"/>
    <w:rsid w:val="6C5A6B79"/>
    <w:rsid w:val="6C5C3AFD"/>
    <w:rsid w:val="6C829CCC"/>
    <w:rsid w:val="6D02A856"/>
    <w:rsid w:val="6EC22CD3"/>
    <w:rsid w:val="6F640A48"/>
    <w:rsid w:val="7135BA97"/>
    <w:rsid w:val="73E01551"/>
    <w:rsid w:val="741142AF"/>
    <w:rsid w:val="74B98E2B"/>
    <w:rsid w:val="74F54A8F"/>
    <w:rsid w:val="75902414"/>
    <w:rsid w:val="7613F1BF"/>
    <w:rsid w:val="7622A367"/>
    <w:rsid w:val="762A368F"/>
    <w:rsid w:val="7641C54E"/>
    <w:rsid w:val="76999E1E"/>
    <w:rsid w:val="76EBF697"/>
    <w:rsid w:val="7730EEF0"/>
    <w:rsid w:val="784A47BD"/>
    <w:rsid w:val="78501E7E"/>
    <w:rsid w:val="78539FD4"/>
    <w:rsid w:val="789389C7"/>
    <w:rsid w:val="7AF34F59"/>
    <w:rsid w:val="7B033358"/>
    <w:rsid w:val="7BC70B50"/>
    <w:rsid w:val="7C802535"/>
    <w:rsid w:val="7D243519"/>
    <w:rsid w:val="7E6BFE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84C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qFormat/>
    <w:rsid w:val="00A5227A"/>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nhideWhenUsed/>
    <w:qFormat/>
    <w:rsid w:val="00A5227A"/>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nhideWhenUsed/>
    <w:qFormat/>
    <w:rsid w:val="00A5227A"/>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nhideWhenUsed/>
    <w:qFormat/>
    <w:rsid w:val="002261B3"/>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nhideWhenUsed/>
    <w:qFormat/>
    <w:rsid w:val="002261B3"/>
    <w:pPr>
      <w:keepNext/>
      <w:keepLines/>
      <w:widowControl/>
      <w:numPr>
        <w:ilvl w:val="4"/>
        <w:numId w:val="15"/>
      </w:numPr>
      <w:spacing w:after="260"/>
      <w:outlineLvl w:val="4"/>
    </w:pPr>
    <w:rPr>
      <w:rFonts w:eastAsiaTheme="majorEastAsia"/>
      <w:b/>
      <w:kern w:val="32"/>
      <w:u w:val="single"/>
    </w:rPr>
  </w:style>
  <w:style w:type="paragraph" w:styleId="Heading6">
    <w:name w:val="heading 6"/>
    <w:aliases w:val="Bold Underline Italic"/>
    <w:basedOn w:val="Normal"/>
    <w:next w:val="FERCparanumber"/>
    <w:unhideWhenUsed/>
    <w:qFormat/>
    <w:rsid w:val="00A5227A"/>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nhideWhenUsed/>
    <w:qFormat/>
    <w:rsid w:val="00A5227A"/>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nhideWhenUsed/>
    <w:qFormat/>
    <w:rsid w:val="00A5227A"/>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nhideWhenUsed/>
    <w:qFormat/>
    <w:rsid w:val="00A5227A"/>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6"/>
    <w:unhideWhenUsed/>
    <w:rsid w:val="009E214D"/>
    <w:pPr>
      <w:spacing w:after="240"/>
      <w:ind w:firstLine="720"/>
    </w:pPr>
  </w:style>
  <w:style w:type="character" w:customStyle="1" w:styleId="BodyTextChar">
    <w:name w:val="Body Text Char"/>
    <w:basedOn w:val="DefaultParagraphFont"/>
    <w:link w:val="BodyText"/>
    <w:uiPriority w:val="6"/>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1"/>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1"/>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heme="majorEastAsia" w:hAnsi="Times New Roman" w:cs="Times New Roman"/>
      <w:b/>
      <w:kern w:val="32"/>
      <w:sz w:val="26"/>
      <w:szCs w:val="26"/>
      <w:u w:val="single"/>
    </w:rPr>
  </w:style>
  <w:style w:type="paragraph" w:styleId="FootnoteText">
    <w:name w:val="footnote text"/>
    <w:aliases w:val="Footnote Text (EIS),fnt,Footnote text (EA),Footnote Text Char1,Footnote Text Char Char,Footnote text (EA) Char,fnt Char,Footnote Text (EIS) Char Char,Footnote Text Char Char Char Char Char,Footnote Text (EIS) Char,f,Footnote Text Char2,fn"/>
    <w:basedOn w:val="Normal"/>
    <w:link w:val="FootnoteTextChar"/>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unhideWhenUsed/>
    <w:rsid w:val="00407EE0"/>
    <w:rPr>
      <w:sz w:val="16"/>
      <w:szCs w:val="16"/>
    </w:rPr>
  </w:style>
  <w:style w:type="character" w:styleId="UnresolvedMention">
    <w:name w:val="Unresolved Mention"/>
    <w:basedOn w:val="DefaultParagraphFont"/>
    <w:uiPriority w:val="99"/>
    <w:unhideWhenUsed/>
    <w:rsid w:val="00C32965"/>
    <w:rPr>
      <w:color w:val="605E5C"/>
      <w:shd w:val="clear" w:color="auto" w:fill="E1DFDD"/>
    </w:rPr>
  </w:style>
  <w:style w:type="character" w:customStyle="1" w:styleId="FootnoteTextChar">
    <w:name w:val="Footnote Text Char"/>
    <w:aliases w:val="Footnote Text (EIS) Char1,fnt Char1,Footnote text (EA) Char1,Footnote Text Char1 Char,Footnote Text Char Char Char,Footnote text (EA) Char Char,fnt Char Char,Footnote Text (EIS) Char Char Char,Footnote Text (EIS) Char Char1,f Char"/>
    <w:basedOn w:val="DefaultParagraphFont"/>
    <w:link w:val="FootnoteText"/>
    <w:rsid w:val="001276F4"/>
    <w:rPr>
      <w:rFonts w:ascii="Times New Roman" w:hAnsi="Times New Roman" w:cs="Times New Roman"/>
      <w:sz w:val="26"/>
      <w:szCs w:val="20"/>
    </w:rPr>
  </w:style>
  <w:style w:type="paragraph" w:styleId="Revision">
    <w:name w:val="Revision"/>
    <w:hidden/>
    <w:uiPriority w:val="99"/>
    <w:semiHidden/>
    <w:rsid w:val="001276F4"/>
    <w:pPr>
      <w:spacing w:after="0" w:line="240" w:lineRule="auto"/>
    </w:pPr>
    <w:rPr>
      <w:rFonts w:ascii="Times New Roman" w:hAnsi="Times New Roman" w:cs="Times New Roman"/>
      <w:sz w:val="26"/>
    </w:rPr>
  </w:style>
  <w:style w:type="character" w:styleId="Mention">
    <w:name w:val="Mention"/>
    <w:basedOn w:val="DefaultParagraphFont"/>
    <w:uiPriority w:val="99"/>
    <w:unhideWhenUsed/>
    <w:rsid w:val="001276F4"/>
    <w:rPr>
      <w:color w:val="2B579A"/>
      <w:shd w:val="clear" w:color="auto" w:fill="E1DFDD"/>
    </w:rPr>
  </w:style>
  <w:style w:type="character" w:styleId="EndnoteReference">
    <w:name w:val="endnote reference"/>
    <w:basedOn w:val="DefaultParagraphFont"/>
    <w:uiPriority w:val="99"/>
    <w:semiHidden/>
    <w:unhideWhenUsed/>
    <w:rsid w:val="001276F4"/>
    <w:rPr>
      <w:vertAlign w:val="superscript"/>
    </w:rPr>
  </w:style>
  <w:style w:type="character" w:styleId="FollowedHyperlink">
    <w:name w:val="FollowedHyperlink"/>
    <w:basedOn w:val="DefaultParagraphFont"/>
    <w:uiPriority w:val="99"/>
    <w:semiHidden/>
    <w:unhideWhenUsed/>
    <w:rsid w:val="001276F4"/>
    <w:rPr>
      <w:color w:val="954F72" w:themeColor="followedHyperlink"/>
      <w:u w:val="single"/>
    </w:rPr>
  </w:style>
  <w:style w:type="character" w:styleId="Strong">
    <w:name w:val="Strong"/>
    <w:basedOn w:val="DefaultParagraphFont"/>
    <w:uiPriority w:val="22"/>
    <w:qFormat/>
    <w:rsid w:val="008B1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0263">
      <w:bodyDiv w:val="1"/>
      <w:marLeft w:val="0"/>
      <w:marRight w:val="0"/>
      <w:marTop w:val="0"/>
      <w:marBottom w:val="0"/>
      <w:divBdr>
        <w:top w:val="none" w:sz="0" w:space="0" w:color="auto"/>
        <w:left w:val="none" w:sz="0" w:space="0" w:color="auto"/>
        <w:bottom w:val="none" w:sz="0" w:space="0" w:color="auto"/>
        <w:right w:val="none" w:sz="0" w:space="0" w:color="auto"/>
      </w:divBdr>
      <w:divsChild>
        <w:div w:id="672685089">
          <w:marLeft w:val="0"/>
          <w:marRight w:val="0"/>
          <w:marTop w:val="0"/>
          <w:marBottom w:val="0"/>
          <w:divBdr>
            <w:top w:val="none" w:sz="0" w:space="0" w:color="3D3D3D"/>
            <w:left w:val="none" w:sz="0" w:space="0" w:color="3D3D3D"/>
            <w:bottom w:val="none" w:sz="0" w:space="0" w:color="3D3D3D"/>
            <w:right w:val="none" w:sz="0" w:space="0" w:color="3D3D3D"/>
          </w:divBdr>
          <w:divsChild>
            <w:div w:id="7657329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4449994">
      <w:bodyDiv w:val="1"/>
      <w:marLeft w:val="0"/>
      <w:marRight w:val="0"/>
      <w:marTop w:val="0"/>
      <w:marBottom w:val="0"/>
      <w:divBdr>
        <w:top w:val="none" w:sz="0" w:space="0" w:color="auto"/>
        <w:left w:val="none" w:sz="0" w:space="0" w:color="auto"/>
        <w:bottom w:val="none" w:sz="0" w:space="0" w:color="auto"/>
        <w:right w:val="none" w:sz="0" w:space="0" w:color="auto"/>
      </w:divBdr>
      <w:divsChild>
        <w:div w:id="930237715">
          <w:marLeft w:val="0"/>
          <w:marRight w:val="0"/>
          <w:marTop w:val="0"/>
          <w:marBottom w:val="0"/>
          <w:divBdr>
            <w:top w:val="none" w:sz="0" w:space="0" w:color="3D3D3D"/>
            <w:left w:val="none" w:sz="0" w:space="0" w:color="3D3D3D"/>
            <w:bottom w:val="none" w:sz="0" w:space="0" w:color="3D3D3D"/>
            <w:right w:val="none" w:sz="0" w:space="0" w:color="3D3D3D"/>
          </w:divBdr>
          <w:divsChild>
            <w:div w:id="8096397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1728278">
      <w:bodyDiv w:val="1"/>
      <w:marLeft w:val="0"/>
      <w:marRight w:val="0"/>
      <w:marTop w:val="0"/>
      <w:marBottom w:val="0"/>
      <w:divBdr>
        <w:top w:val="none" w:sz="0" w:space="0" w:color="auto"/>
        <w:left w:val="none" w:sz="0" w:space="0" w:color="auto"/>
        <w:bottom w:val="none" w:sz="0" w:space="0" w:color="auto"/>
        <w:right w:val="none" w:sz="0" w:space="0" w:color="auto"/>
      </w:divBdr>
      <w:divsChild>
        <w:div w:id="574433733">
          <w:marLeft w:val="0"/>
          <w:marRight w:val="0"/>
          <w:marTop w:val="0"/>
          <w:marBottom w:val="0"/>
          <w:divBdr>
            <w:top w:val="none" w:sz="0" w:space="0" w:color="3D3D3D"/>
            <w:left w:val="none" w:sz="0" w:space="0" w:color="3D3D3D"/>
            <w:bottom w:val="none" w:sz="0" w:space="0" w:color="3D3D3D"/>
            <w:right w:val="none" w:sz="0" w:space="0" w:color="3D3D3D"/>
          </w:divBdr>
          <w:divsChild>
            <w:div w:id="7211712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128573">
      <w:bodyDiv w:val="1"/>
      <w:marLeft w:val="0"/>
      <w:marRight w:val="0"/>
      <w:marTop w:val="0"/>
      <w:marBottom w:val="0"/>
      <w:divBdr>
        <w:top w:val="none" w:sz="0" w:space="0" w:color="auto"/>
        <w:left w:val="none" w:sz="0" w:space="0" w:color="auto"/>
        <w:bottom w:val="none" w:sz="0" w:space="0" w:color="auto"/>
        <w:right w:val="none" w:sz="0" w:space="0" w:color="auto"/>
      </w:divBdr>
      <w:divsChild>
        <w:div w:id="1457599612">
          <w:marLeft w:val="0"/>
          <w:marRight w:val="0"/>
          <w:marTop w:val="0"/>
          <w:marBottom w:val="0"/>
          <w:divBdr>
            <w:top w:val="none" w:sz="0" w:space="0" w:color="3D3D3D"/>
            <w:left w:val="none" w:sz="0" w:space="0" w:color="3D3D3D"/>
            <w:bottom w:val="none" w:sz="0" w:space="0" w:color="3D3D3D"/>
            <w:right w:val="none" w:sz="0" w:space="0" w:color="3D3D3D"/>
          </w:divBdr>
          <w:divsChild>
            <w:div w:id="11199105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8376630">
      <w:bodyDiv w:val="1"/>
      <w:marLeft w:val="0"/>
      <w:marRight w:val="0"/>
      <w:marTop w:val="0"/>
      <w:marBottom w:val="0"/>
      <w:divBdr>
        <w:top w:val="none" w:sz="0" w:space="0" w:color="auto"/>
        <w:left w:val="none" w:sz="0" w:space="0" w:color="auto"/>
        <w:bottom w:val="none" w:sz="0" w:space="0" w:color="auto"/>
        <w:right w:val="none" w:sz="0" w:space="0" w:color="auto"/>
      </w:divBdr>
      <w:divsChild>
        <w:div w:id="1359699030">
          <w:marLeft w:val="0"/>
          <w:marRight w:val="0"/>
          <w:marTop w:val="0"/>
          <w:marBottom w:val="0"/>
          <w:divBdr>
            <w:top w:val="none" w:sz="0" w:space="0" w:color="3D3D3D"/>
            <w:left w:val="none" w:sz="0" w:space="0" w:color="3D3D3D"/>
            <w:bottom w:val="none" w:sz="0" w:space="0" w:color="3D3D3D"/>
            <w:right w:val="none" w:sz="0" w:space="0" w:color="3D3D3D"/>
          </w:divBdr>
          <w:divsChild>
            <w:div w:id="4177529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2305732">
      <w:bodyDiv w:val="1"/>
      <w:marLeft w:val="0"/>
      <w:marRight w:val="0"/>
      <w:marTop w:val="0"/>
      <w:marBottom w:val="0"/>
      <w:divBdr>
        <w:top w:val="none" w:sz="0" w:space="0" w:color="auto"/>
        <w:left w:val="none" w:sz="0" w:space="0" w:color="auto"/>
        <w:bottom w:val="none" w:sz="0" w:space="0" w:color="auto"/>
        <w:right w:val="none" w:sz="0" w:space="0" w:color="auto"/>
      </w:divBdr>
    </w:div>
    <w:div w:id="117917804">
      <w:bodyDiv w:val="1"/>
      <w:marLeft w:val="0"/>
      <w:marRight w:val="0"/>
      <w:marTop w:val="0"/>
      <w:marBottom w:val="0"/>
      <w:divBdr>
        <w:top w:val="none" w:sz="0" w:space="0" w:color="auto"/>
        <w:left w:val="none" w:sz="0" w:space="0" w:color="auto"/>
        <w:bottom w:val="none" w:sz="0" w:space="0" w:color="auto"/>
        <w:right w:val="none" w:sz="0" w:space="0" w:color="auto"/>
      </w:divBdr>
      <w:divsChild>
        <w:div w:id="579674832">
          <w:marLeft w:val="0"/>
          <w:marRight w:val="0"/>
          <w:marTop w:val="0"/>
          <w:marBottom w:val="0"/>
          <w:divBdr>
            <w:top w:val="none" w:sz="0" w:space="0" w:color="3D3D3D"/>
            <w:left w:val="none" w:sz="0" w:space="0" w:color="3D3D3D"/>
            <w:bottom w:val="none" w:sz="0" w:space="0" w:color="3D3D3D"/>
            <w:right w:val="none" w:sz="0" w:space="0" w:color="3D3D3D"/>
          </w:divBdr>
          <w:divsChild>
            <w:div w:id="5993358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4665393">
      <w:bodyDiv w:val="1"/>
      <w:marLeft w:val="0"/>
      <w:marRight w:val="0"/>
      <w:marTop w:val="0"/>
      <w:marBottom w:val="0"/>
      <w:divBdr>
        <w:top w:val="none" w:sz="0" w:space="0" w:color="auto"/>
        <w:left w:val="none" w:sz="0" w:space="0" w:color="auto"/>
        <w:bottom w:val="none" w:sz="0" w:space="0" w:color="auto"/>
        <w:right w:val="none" w:sz="0" w:space="0" w:color="auto"/>
      </w:divBdr>
      <w:divsChild>
        <w:div w:id="1605923037">
          <w:marLeft w:val="0"/>
          <w:marRight w:val="0"/>
          <w:marTop w:val="0"/>
          <w:marBottom w:val="0"/>
          <w:divBdr>
            <w:top w:val="none" w:sz="0" w:space="0" w:color="3D3D3D"/>
            <w:left w:val="none" w:sz="0" w:space="0" w:color="3D3D3D"/>
            <w:bottom w:val="none" w:sz="0" w:space="0" w:color="3D3D3D"/>
            <w:right w:val="none" w:sz="0" w:space="0" w:color="3D3D3D"/>
          </w:divBdr>
          <w:divsChild>
            <w:div w:id="19084948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8399715">
      <w:bodyDiv w:val="1"/>
      <w:marLeft w:val="0"/>
      <w:marRight w:val="0"/>
      <w:marTop w:val="0"/>
      <w:marBottom w:val="0"/>
      <w:divBdr>
        <w:top w:val="none" w:sz="0" w:space="0" w:color="auto"/>
        <w:left w:val="none" w:sz="0" w:space="0" w:color="auto"/>
        <w:bottom w:val="none" w:sz="0" w:space="0" w:color="auto"/>
        <w:right w:val="none" w:sz="0" w:space="0" w:color="auto"/>
      </w:divBdr>
      <w:divsChild>
        <w:div w:id="2085293868">
          <w:marLeft w:val="0"/>
          <w:marRight w:val="0"/>
          <w:marTop w:val="0"/>
          <w:marBottom w:val="0"/>
          <w:divBdr>
            <w:top w:val="none" w:sz="0" w:space="0" w:color="3D3D3D"/>
            <w:left w:val="none" w:sz="0" w:space="0" w:color="3D3D3D"/>
            <w:bottom w:val="none" w:sz="0" w:space="0" w:color="3D3D3D"/>
            <w:right w:val="none" w:sz="0" w:space="0" w:color="3D3D3D"/>
          </w:divBdr>
          <w:divsChild>
            <w:div w:id="19129319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8303162">
      <w:bodyDiv w:val="1"/>
      <w:marLeft w:val="0"/>
      <w:marRight w:val="0"/>
      <w:marTop w:val="0"/>
      <w:marBottom w:val="0"/>
      <w:divBdr>
        <w:top w:val="none" w:sz="0" w:space="0" w:color="auto"/>
        <w:left w:val="none" w:sz="0" w:space="0" w:color="auto"/>
        <w:bottom w:val="none" w:sz="0" w:space="0" w:color="auto"/>
        <w:right w:val="none" w:sz="0" w:space="0" w:color="auto"/>
      </w:divBdr>
      <w:divsChild>
        <w:div w:id="603000419">
          <w:marLeft w:val="0"/>
          <w:marRight w:val="0"/>
          <w:marTop w:val="0"/>
          <w:marBottom w:val="0"/>
          <w:divBdr>
            <w:top w:val="none" w:sz="0" w:space="0" w:color="3D3D3D"/>
            <w:left w:val="none" w:sz="0" w:space="0" w:color="3D3D3D"/>
            <w:bottom w:val="none" w:sz="0" w:space="0" w:color="3D3D3D"/>
            <w:right w:val="none" w:sz="0" w:space="0" w:color="3D3D3D"/>
          </w:divBdr>
          <w:divsChild>
            <w:div w:id="3005743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901276">
      <w:bodyDiv w:val="1"/>
      <w:marLeft w:val="0"/>
      <w:marRight w:val="0"/>
      <w:marTop w:val="0"/>
      <w:marBottom w:val="0"/>
      <w:divBdr>
        <w:top w:val="none" w:sz="0" w:space="0" w:color="auto"/>
        <w:left w:val="none" w:sz="0" w:space="0" w:color="auto"/>
        <w:bottom w:val="none" w:sz="0" w:space="0" w:color="auto"/>
        <w:right w:val="none" w:sz="0" w:space="0" w:color="auto"/>
      </w:divBdr>
      <w:divsChild>
        <w:div w:id="501697748">
          <w:marLeft w:val="0"/>
          <w:marRight w:val="0"/>
          <w:marTop w:val="0"/>
          <w:marBottom w:val="0"/>
          <w:divBdr>
            <w:top w:val="none" w:sz="0" w:space="0" w:color="3D3D3D"/>
            <w:left w:val="none" w:sz="0" w:space="0" w:color="3D3D3D"/>
            <w:bottom w:val="none" w:sz="0" w:space="0" w:color="3D3D3D"/>
            <w:right w:val="none" w:sz="0" w:space="0" w:color="3D3D3D"/>
          </w:divBdr>
          <w:divsChild>
            <w:div w:id="10782123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8930559">
      <w:bodyDiv w:val="1"/>
      <w:marLeft w:val="0"/>
      <w:marRight w:val="0"/>
      <w:marTop w:val="0"/>
      <w:marBottom w:val="0"/>
      <w:divBdr>
        <w:top w:val="none" w:sz="0" w:space="0" w:color="auto"/>
        <w:left w:val="none" w:sz="0" w:space="0" w:color="auto"/>
        <w:bottom w:val="none" w:sz="0" w:space="0" w:color="auto"/>
        <w:right w:val="none" w:sz="0" w:space="0" w:color="auto"/>
      </w:divBdr>
      <w:divsChild>
        <w:div w:id="471948028">
          <w:marLeft w:val="0"/>
          <w:marRight w:val="0"/>
          <w:marTop w:val="0"/>
          <w:marBottom w:val="0"/>
          <w:divBdr>
            <w:top w:val="none" w:sz="0" w:space="0" w:color="3D3D3D"/>
            <w:left w:val="none" w:sz="0" w:space="0" w:color="3D3D3D"/>
            <w:bottom w:val="none" w:sz="0" w:space="0" w:color="3D3D3D"/>
            <w:right w:val="none" w:sz="0" w:space="0" w:color="3D3D3D"/>
          </w:divBdr>
          <w:divsChild>
            <w:div w:id="11368721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1623844">
      <w:bodyDiv w:val="1"/>
      <w:marLeft w:val="0"/>
      <w:marRight w:val="0"/>
      <w:marTop w:val="0"/>
      <w:marBottom w:val="0"/>
      <w:divBdr>
        <w:top w:val="none" w:sz="0" w:space="0" w:color="auto"/>
        <w:left w:val="none" w:sz="0" w:space="0" w:color="auto"/>
        <w:bottom w:val="none" w:sz="0" w:space="0" w:color="auto"/>
        <w:right w:val="none" w:sz="0" w:space="0" w:color="auto"/>
      </w:divBdr>
      <w:divsChild>
        <w:div w:id="1839156116">
          <w:marLeft w:val="0"/>
          <w:marRight w:val="0"/>
          <w:marTop w:val="0"/>
          <w:marBottom w:val="0"/>
          <w:divBdr>
            <w:top w:val="none" w:sz="0" w:space="0" w:color="3D3D3D"/>
            <w:left w:val="none" w:sz="0" w:space="0" w:color="3D3D3D"/>
            <w:bottom w:val="none" w:sz="0" w:space="0" w:color="3D3D3D"/>
            <w:right w:val="none" w:sz="0" w:space="0" w:color="3D3D3D"/>
          </w:divBdr>
          <w:divsChild>
            <w:div w:id="2030998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4563232">
      <w:bodyDiv w:val="1"/>
      <w:marLeft w:val="0"/>
      <w:marRight w:val="0"/>
      <w:marTop w:val="0"/>
      <w:marBottom w:val="0"/>
      <w:divBdr>
        <w:top w:val="none" w:sz="0" w:space="0" w:color="auto"/>
        <w:left w:val="none" w:sz="0" w:space="0" w:color="auto"/>
        <w:bottom w:val="none" w:sz="0" w:space="0" w:color="auto"/>
        <w:right w:val="none" w:sz="0" w:space="0" w:color="auto"/>
      </w:divBdr>
      <w:divsChild>
        <w:div w:id="1157309172">
          <w:marLeft w:val="0"/>
          <w:marRight w:val="0"/>
          <w:marTop w:val="0"/>
          <w:marBottom w:val="0"/>
          <w:divBdr>
            <w:top w:val="none" w:sz="0" w:space="0" w:color="3D3D3D"/>
            <w:left w:val="none" w:sz="0" w:space="0" w:color="3D3D3D"/>
            <w:bottom w:val="none" w:sz="0" w:space="0" w:color="3D3D3D"/>
            <w:right w:val="none" w:sz="0" w:space="0" w:color="3D3D3D"/>
          </w:divBdr>
          <w:divsChild>
            <w:div w:id="5794858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7643116">
      <w:bodyDiv w:val="1"/>
      <w:marLeft w:val="0"/>
      <w:marRight w:val="0"/>
      <w:marTop w:val="0"/>
      <w:marBottom w:val="0"/>
      <w:divBdr>
        <w:top w:val="none" w:sz="0" w:space="0" w:color="auto"/>
        <w:left w:val="none" w:sz="0" w:space="0" w:color="auto"/>
        <w:bottom w:val="none" w:sz="0" w:space="0" w:color="auto"/>
        <w:right w:val="none" w:sz="0" w:space="0" w:color="auto"/>
      </w:divBdr>
      <w:divsChild>
        <w:div w:id="340739003">
          <w:marLeft w:val="0"/>
          <w:marRight w:val="0"/>
          <w:marTop w:val="0"/>
          <w:marBottom w:val="0"/>
          <w:divBdr>
            <w:top w:val="none" w:sz="0" w:space="0" w:color="3D3D3D"/>
            <w:left w:val="none" w:sz="0" w:space="0" w:color="3D3D3D"/>
            <w:bottom w:val="none" w:sz="0" w:space="0" w:color="3D3D3D"/>
            <w:right w:val="none" w:sz="0" w:space="0" w:color="3D3D3D"/>
          </w:divBdr>
          <w:divsChild>
            <w:div w:id="15261685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8415719">
      <w:bodyDiv w:val="1"/>
      <w:marLeft w:val="0"/>
      <w:marRight w:val="0"/>
      <w:marTop w:val="0"/>
      <w:marBottom w:val="0"/>
      <w:divBdr>
        <w:top w:val="none" w:sz="0" w:space="0" w:color="auto"/>
        <w:left w:val="none" w:sz="0" w:space="0" w:color="auto"/>
        <w:bottom w:val="none" w:sz="0" w:space="0" w:color="auto"/>
        <w:right w:val="none" w:sz="0" w:space="0" w:color="auto"/>
      </w:divBdr>
      <w:divsChild>
        <w:div w:id="118841224">
          <w:marLeft w:val="0"/>
          <w:marRight w:val="0"/>
          <w:marTop w:val="0"/>
          <w:marBottom w:val="0"/>
          <w:divBdr>
            <w:top w:val="none" w:sz="0" w:space="0" w:color="3D3D3D"/>
            <w:left w:val="none" w:sz="0" w:space="0" w:color="3D3D3D"/>
            <w:bottom w:val="none" w:sz="0" w:space="0" w:color="3D3D3D"/>
            <w:right w:val="none" w:sz="0" w:space="0" w:color="3D3D3D"/>
          </w:divBdr>
          <w:divsChild>
            <w:div w:id="56919051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23100826">
      <w:bodyDiv w:val="1"/>
      <w:marLeft w:val="0"/>
      <w:marRight w:val="0"/>
      <w:marTop w:val="0"/>
      <w:marBottom w:val="0"/>
      <w:divBdr>
        <w:top w:val="none" w:sz="0" w:space="0" w:color="auto"/>
        <w:left w:val="none" w:sz="0" w:space="0" w:color="auto"/>
        <w:bottom w:val="none" w:sz="0" w:space="0" w:color="auto"/>
        <w:right w:val="none" w:sz="0" w:space="0" w:color="auto"/>
      </w:divBdr>
      <w:divsChild>
        <w:div w:id="1409301395">
          <w:marLeft w:val="0"/>
          <w:marRight w:val="0"/>
          <w:marTop w:val="0"/>
          <w:marBottom w:val="0"/>
          <w:divBdr>
            <w:top w:val="none" w:sz="0" w:space="0" w:color="3D3D3D"/>
            <w:left w:val="none" w:sz="0" w:space="0" w:color="3D3D3D"/>
            <w:bottom w:val="none" w:sz="0" w:space="0" w:color="3D3D3D"/>
            <w:right w:val="none" w:sz="0" w:space="0" w:color="3D3D3D"/>
          </w:divBdr>
          <w:divsChild>
            <w:div w:id="19771803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24493518">
      <w:bodyDiv w:val="1"/>
      <w:marLeft w:val="0"/>
      <w:marRight w:val="0"/>
      <w:marTop w:val="0"/>
      <w:marBottom w:val="0"/>
      <w:divBdr>
        <w:top w:val="none" w:sz="0" w:space="0" w:color="auto"/>
        <w:left w:val="none" w:sz="0" w:space="0" w:color="auto"/>
        <w:bottom w:val="none" w:sz="0" w:space="0" w:color="auto"/>
        <w:right w:val="none" w:sz="0" w:space="0" w:color="auto"/>
      </w:divBdr>
      <w:divsChild>
        <w:div w:id="1869636322">
          <w:marLeft w:val="0"/>
          <w:marRight w:val="0"/>
          <w:marTop w:val="0"/>
          <w:marBottom w:val="0"/>
          <w:divBdr>
            <w:top w:val="none" w:sz="0" w:space="0" w:color="3D3D3D"/>
            <w:left w:val="none" w:sz="0" w:space="0" w:color="3D3D3D"/>
            <w:bottom w:val="none" w:sz="0" w:space="0" w:color="3D3D3D"/>
            <w:right w:val="none" w:sz="0" w:space="0" w:color="3D3D3D"/>
          </w:divBdr>
          <w:divsChild>
            <w:div w:id="9645057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40532522">
      <w:bodyDiv w:val="1"/>
      <w:marLeft w:val="0"/>
      <w:marRight w:val="0"/>
      <w:marTop w:val="0"/>
      <w:marBottom w:val="0"/>
      <w:divBdr>
        <w:top w:val="none" w:sz="0" w:space="0" w:color="auto"/>
        <w:left w:val="none" w:sz="0" w:space="0" w:color="auto"/>
        <w:bottom w:val="none" w:sz="0" w:space="0" w:color="auto"/>
        <w:right w:val="none" w:sz="0" w:space="0" w:color="auto"/>
      </w:divBdr>
      <w:divsChild>
        <w:div w:id="515846214">
          <w:marLeft w:val="0"/>
          <w:marRight w:val="0"/>
          <w:marTop w:val="0"/>
          <w:marBottom w:val="0"/>
          <w:divBdr>
            <w:top w:val="none" w:sz="0" w:space="0" w:color="3D3D3D"/>
            <w:left w:val="none" w:sz="0" w:space="0" w:color="3D3D3D"/>
            <w:bottom w:val="none" w:sz="0" w:space="0" w:color="3D3D3D"/>
            <w:right w:val="none" w:sz="0" w:space="0" w:color="3D3D3D"/>
          </w:divBdr>
          <w:divsChild>
            <w:div w:id="3193822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40797386">
      <w:bodyDiv w:val="1"/>
      <w:marLeft w:val="0"/>
      <w:marRight w:val="0"/>
      <w:marTop w:val="0"/>
      <w:marBottom w:val="0"/>
      <w:divBdr>
        <w:top w:val="none" w:sz="0" w:space="0" w:color="auto"/>
        <w:left w:val="none" w:sz="0" w:space="0" w:color="auto"/>
        <w:bottom w:val="none" w:sz="0" w:space="0" w:color="auto"/>
        <w:right w:val="none" w:sz="0" w:space="0" w:color="auto"/>
      </w:divBdr>
      <w:divsChild>
        <w:div w:id="314771493">
          <w:marLeft w:val="0"/>
          <w:marRight w:val="0"/>
          <w:marTop w:val="0"/>
          <w:marBottom w:val="0"/>
          <w:divBdr>
            <w:top w:val="none" w:sz="0" w:space="0" w:color="3D3D3D"/>
            <w:left w:val="none" w:sz="0" w:space="0" w:color="3D3D3D"/>
            <w:bottom w:val="none" w:sz="0" w:space="0" w:color="3D3D3D"/>
            <w:right w:val="none" w:sz="0" w:space="0" w:color="3D3D3D"/>
          </w:divBdr>
          <w:divsChild>
            <w:div w:id="980690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69242995">
      <w:bodyDiv w:val="1"/>
      <w:marLeft w:val="0"/>
      <w:marRight w:val="0"/>
      <w:marTop w:val="0"/>
      <w:marBottom w:val="0"/>
      <w:divBdr>
        <w:top w:val="none" w:sz="0" w:space="0" w:color="auto"/>
        <w:left w:val="none" w:sz="0" w:space="0" w:color="auto"/>
        <w:bottom w:val="none" w:sz="0" w:space="0" w:color="auto"/>
        <w:right w:val="none" w:sz="0" w:space="0" w:color="auto"/>
      </w:divBdr>
      <w:divsChild>
        <w:div w:id="201329011">
          <w:marLeft w:val="0"/>
          <w:marRight w:val="0"/>
          <w:marTop w:val="0"/>
          <w:marBottom w:val="0"/>
          <w:divBdr>
            <w:top w:val="none" w:sz="0" w:space="0" w:color="3D3D3D"/>
            <w:left w:val="none" w:sz="0" w:space="0" w:color="3D3D3D"/>
            <w:bottom w:val="none" w:sz="0" w:space="0" w:color="3D3D3D"/>
            <w:right w:val="none" w:sz="0" w:space="0" w:color="3D3D3D"/>
          </w:divBdr>
          <w:divsChild>
            <w:div w:id="1779627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73830819">
      <w:bodyDiv w:val="1"/>
      <w:marLeft w:val="0"/>
      <w:marRight w:val="0"/>
      <w:marTop w:val="0"/>
      <w:marBottom w:val="0"/>
      <w:divBdr>
        <w:top w:val="none" w:sz="0" w:space="0" w:color="auto"/>
        <w:left w:val="none" w:sz="0" w:space="0" w:color="auto"/>
        <w:bottom w:val="none" w:sz="0" w:space="0" w:color="auto"/>
        <w:right w:val="none" w:sz="0" w:space="0" w:color="auto"/>
      </w:divBdr>
      <w:divsChild>
        <w:div w:id="1404328713">
          <w:marLeft w:val="0"/>
          <w:marRight w:val="0"/>
          <w:marTop w:val="0"/>
          <w:marBottom w:val="0"/>
          <w:divBdr>
            <w:top w:val="none" w:sz="0" w:space="0" w:color="3D3D3D"/>
            <w:left w:val="none" w:sz="0" w:space="0" w:color="3D3D3D"/>
            <w:bottom w:val="none" w:sz="0" w:space="0" w:color="3D3D3D"/>
            <w:right w:val="none" w:sz="0" w:space="0" w:color="3D3D3D"/>
          </w:divBdr>
          <w:divsChild>
            <w:div w:id="2186327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32418080">
      <w:bodyDiv w:val="1"/>
      <w:marLeft w:val="0"/>
      <w:marRight w:val="0"/>
      <w:marTop w:val="0"/>
      <w:marBottom w:val="0"/>
      <w:divBdr>
        <w:top w:val="none" w:sz="0" w:space="0" w:color="auto"/>
        <w:left w:val="none" w:sz="0" w:space="0" w:color="auto"/>
        <w:bottom w:val="none" w:sz="0" w:space="0" w:color="auto"/>
        <w:right w:val="none" w:sz="0" w:space="0" w:color="auto"/>
      </w:divBdr>
      <w:divsChild>
        <w:div w:id="1332181618">
          <w:marLeft w:val="0"/>
          <w:marRight w:val="0"/>
          <w:marTop w:val="0"/>
          <w:marBottom w:val="0"/>
          <w:divBdr>
            <w:top w:val="none" w:sz="0" w:space="0" w:color="3D3D3D"/>
            <w:left w:val="none" w:sz="0" w:space="0" w:color="3D3D3D"/>
            <w:bottom w:val="none" w:sz="0" w:space="0" w:color="3D3D3D"/>
            <w:right w:val="none" w:sz="0" w:space="0" w:color="3D3D3D"/>
          </w:divBdr>
          <w:divsChild>
            <w:div w:id="10232902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40932427">
      <w:bodyDiv w:val="1"/>
      <w:marLeft w:val="0"/>
      <w:marRight w:val="0"/>
      <w:marTop w:val="0"/>
      <w:marBottom w:val="0"/>
      <w:divBdr>
        <w:top w:val="none" w:sz="0" w:space="0" w:color="auto"/>
        <w:left w:val="none" w:sz="0" w:space="0" w:color="auto"/>
        <w:bottom w:val="none" w:sz="0" w:space="0" w:color="auto"/>
        <w:right w:val="none" w:sz="0" w:space="0" w:color="auto"/>
      </w:divBdr>
      <w:divsChild>
        <w:div w:id="1985236364">
          <w:marLeft w:val="0"/>
          <w:marRight w:val="0"/>
          <w:marTop w:val="0"/>
          <w:marBottom w:val="0"/>
          <w:divBdr>
            <w:top w:val="none" w:sz="0" w:space="0" w:color="3D3D3D"/>
            <w:left w:val="none" w:sz="0" w:space="0" w:color="3D3D3D"/>
            <w:bottom w:val="none" w:sz="0" w:space="0" w:color="3D3D3D"/>
            <w:right w:val="none" w:sz="0" w:space="0" w:color="3D3D3D"/>
          </w:divBdr>
          <w:divsChild>
            <w:div w:id="1486376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49912403">
      <w:bodyDiv w:val="1"/>
      <w:marLeft w:val="0"/>
      <w:marRight w:val="0"/>
      <w:marTop w:val="0"/>
      <w:marBottom w:val="0"/>
      <w:divBdr>
        <w:top w:val="none" w:sz="0" w:space="0" w:color="auto"/>
        <w:left w:val="none" w:sz="0" w:space="0" w:color="auto"/>
        <w:bottom w:val="none" w:sz="0" w:space="0" w:color="auto"/>
        <w:right w:val="none" w:sz="0" w:space="0" w:color="auto"/>
      </w:divBdr>
      <w:divsChild>
        <w:div w:id="265116522">
          <w:marLeft w:val="0"/>
          <w:marRight w:val="0"/>
          <w:marTop w:val="0"/>
          <w:marBottom w:val="0"/>
          <w:divBdr>
            <w:top w:val="none" w:sz="0" w:space="0" w:color="3D3D3D"/>
            <w:left w:val="none" w:sz="0" w:space="0" w:color="3D3D3D"/>
            <w:bottom w:val="none" w:sz="0" w:space="0" w:color="3D3D3D"/>
            <w:right w:val="none" w:sz="0" w:space="0" w:color="3D3D3D"/>
          </w:divBdr>
          <w:divsChild>
            <w:div w:id="12250649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0421053">
      <w:bodyDiv w:val="1"/>
      <w:marLeft w:val="0"/>
      <w:marRight w:val="0"/>
      <w:marTop w:val="0"/>
      <w:marBottom w:val="0"/>
      <w:divBdr>
        <w:top w:val="none" w:sz="0" w:space="0" w:color="auto"/>
        <w:left w:val="none" w:sz="0" w:space="0" w:color="auto"/>
        <w:bottom w:val="none" w:sz="0" w:space="0" w:color="auto"/>
        <w:right w:val="none" w:sz="0" w:space="0" w:color="auto"/>
      </w:divBdr>
      <w:divsChild>
        <w:div w:id="1081560720">
          <w:marLeft w:val="0"/>
          <w:marRight w:val="0"/>
          <w:marTop w:val="0"/>
          <w:marBottom w:val="0"/>
          <w:divBdr>
            <w:top w:val="none" w:sz="0" w:space="0" w:color="3D3D3D"/>
            <w:left w:val="none" w:sz="0" w:space="0" w:color="3D3D3D"/>
            <w:bottom w:val="none" w:sz="0" w:space="0" w:color="3D3D3D"/>
            <w:right w:val="none" w:sz="0" w:space="0" w:color="3D3D3D"/>
          </w:divBdr>
          <w:divsChild>
            <w:div w:id="12370888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1147332">
      <w:bodyDiv w:val="1"/>
      <w:marLeft w:val="0"/>
      <w:marRight w:val="0"/>
      <w:marTop w:val="0"/>
      <w:marBottom w:val="0"/>
      <w:divBdr>
        <w:top w:val="none" w:sz="0" w:space="0" w:color="auto"/>
        <w:left w:val="none" w:sz="0" w:space="0" w:color="auto"/>
        <w:bottom w:val="none" w:sz="0" w:space="0" w:color="auto"/>
        <w:right w:val="none" w:sz="0" w:space="0" w:color="auto"/>
      </w:divBdr>
      <w:divsChild>
        <w:div w:id="1666978110">
          <w:marLeft w:val="0"/>
          <w:marRight w:val="0"/>
          <w:marTop w:val="0"/>
          <w:marBottom w:val="0"/>
          <w:divBdr>
            <w:top w:val="none" w:sz="0" w:space="0" w:color="3D3D3D"/>
            <w:left w:val="none" w:sz="0" w:space="0" w:color="3D3D3D"/>
            <w:bottom w:val="none" w:sz="0" w:space="0" w:color="3D3D3D"/>
            <w:right w:val="none" w:sz="0" w:space="0" w:color="3D3D3D"/>
          </w:divBdr>
          <w:divsChild>
            <w:div w:id="15131029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3167058">
      <w:bodyDiv w:val="1"/>
      <w:marLeft w:val="0"/>
      <w:marRight w:val="0"/>
      <w:marTop w:val="0"/>
      <w:marBottom w:val="0"/>
      <w:divBdr>
        <w:top w:val="none" w:sz="0" w:space="0" w:color="auto"/>
        <w:left w:val="none" w:sz="0" w:space="0" w:color="auto"/>
        <w:bottom w:val="none" w:sz="0" w:space="0" w:color="auto"/>
        <w:right w:val="none" w:sz="0" w:space="0" w:color="auto"/>
      </w:divBdr>
      <w:divsChild>
        <w:div w:id="1730297574">
          <w:marLeft w:val="0"/>
          <w:marRight w:val="0"/>
          <w:marTop w:val="0"/>
          <w:marBottom w:val="0"/>
          <w:divBdr>
            <w:top w:val="none" w:sz="0" w:space="0" w:color="3D3D3D"/>
            <w:left w:val="none" w:sz="0" w:space="0" w:color="3D3D3D"/>
            <w:bottom w:val="none" w:sz="0" w:space="0" w:color="3D3D3D"/>
            <w:right w:val="none" w:sz="0" w:space="0" w:color="3D3D3D"/>
          </w:divBdr>
          <w:divsChild>
            <w:div w:id="20113310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98600770">
      <w:bodyDiv w:val="1"/>
      <w:marLeft w:val="0"/>
      <w:marRight w:val="0"/>
      <w:marTop w:val="0"/>
      <w:marBottom w:val="0"/>
      <w:divBdr>
        <w:top w:val="none" w:sz="0" w:space="0" w:color="auto"/>
        <w:left w:val="none" w:sz="0" w:space="0" w:color="auto"/>
        <w:bottom w:val="none" w:sz="0" w:space="0" w:color="auto"/>
        <w:right w:val="none" w:sz="0" w:space="0" w:color="auto"/>
      </w:divBdr>
      <w:divsChild>
        <w:div w:id="1553662830">
          <w:marLeft w:val="0"/>
          <w:marRight w:val="0"/>
          <w:marTop w:val="0"/>
          <w:marBottom w:val="0"/>
          <w:divBdr>
            <w:top w:val="none" w:sz="0" w:space="0" w:color="3D3D3D"/>
            <w:left w:val="none" w:sz="0" w:space="0" w:color="3D3D3D"/>
            <w:bottom w:val="none" w:sz="0" w:space="0" w:color="3D3D3D"/>
            <w:right w:val="none" w:sz="0" w:space="0" w:color="3D3D3D"/>
          </w:divBdr>
          <w:divsChild>
            <w:div w:id="9842368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06538627">
      <w:bodyDiv w:val="1"/>
      <w:marLeft w:val="0"/>
      <w:marRight w:val="0"/>
      <w:marTop w:val="0"/>
      <w:marBottom w:val="0"/>
      <w:divBdr>
        <w:top w:val="none" w:sz="0" w:space="0" w:color="auto"/>
        <w:left w:val="none" w:sz="0" w:space="0" w:color="auto"/>
        <w:bottom w:val="none" w:sz="0" w:space="0" w:color="auto"/>
        <w:right w:val="none" w:sz="0" w:space="0" w:color="auto"/>
      </w:divBdr>
      <w:divsChild>
        <w:div w:id="725908319">
          <w:marLeft w:val="0"/>
          <w:marRight w:val="0"/>
          <w:marTop w:val="0"/>
          <w:marBottom w:val="0"/>
          <w:divBdr>
            <w:top w:val="none" w:sz="0" w:space="0" w:color="3D3D3D"/>
            <w:left w:val="none" w:sz="0" w:space="0" w:color="3D3D3D"/>
            <w:bottom w:val="none" w:sz="0" w:space="0" w:color="3D3D3D"/>
            <w:right w:val="none" w:sz="0" w:space="0" w:color="3D3D3D"/>
          </w:divBdr>
          <w:divsChild>
            <w:div w:id="3124852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60004017">
      <w:bodyDiv w:val="1"/>
      <w:marLeft w:val="0"/>
      <w:marRight w:val="0"/>
      <w:marTop w:val="0"/>
      <w:marBottom w:val="0"/>
      <w:divBdr>
        <w:top w:val="none" w:sz="0" w:space="0" w:color="auto"/>
        <w:left w:val="none" w:sz="0" w:space="0" w:color="auto"/>
        <w:bottom w:val="none" w:sz="0" w:space="0" w:color="auto"/>
        <w:right w:val="none" w:sz="0" w:space="0" w:color="auto"/>
      </w:divBdr>
    </w:div>
    <w:div w:id="461657311">
      <w:bodyDiv w:val="1"/>
      <w:marLeft w:val="0"/>
      <w:marRight w:val="0"/>
      <w:marTop w:val="0"/>
      <w:marBottom w:val="0"/>
      <w:divBdr>
        <w:top w:val="none" w:sz="0" w:space="0" w:color="auto"/>
        <w:left w:val="none" w:sz="0" w:space="0" w:color="auto"/>
        <w:bottom w:val="none" w:sz="0" w:space="0" w:color="auto"/>
        <w:right w:val="none" w:sz="0" w:space="0" w:color="auto"/>
      </w:divBdr>
      <w:divsChild>
        <w:div w:id="140118187">
          <w:marLeft w:val="0"/>
          <w:marRight w:val="0"/>
          <w:marTop w:val="0"/>
          <w:marBottom w:val="0"/>
          <w:divBdr>
            <w:top w:val="none" w:sz="0" w:space="0" w:color="3D3D3D"/>
            <w:left w:val="none" w:sz="0" w:space="0" w:color="3D3D3D"/>
            <w:bottom w:val="none" w:sz="0" w:space="0" w:color="3D3D3D"/>
            <w:right w:val="none" w:sz="0" w:space="0" w:color="3D3D3D"/>
          </w:divBdr>
          <w:divsChild>
            <w:div w:id="1699541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65509871">
      <w:bodyDiv w:val="1"/>
      <w:marLeft w:val="0"/>
      <w:marRight w:val="0"/>
      <w:marTop w:val="0"/>
      <w:marBottom w:val="0"/>
      <w:divBdr>
        <w:top w:val="none" w:sz="0" w:space="0" w:color="auto"/>
        <w:left w:val="none" w:sz="0" w:space="0" w:color="auto"/>
        <w:bottom w:val="none" w:sz="0" w:space="0" w:color="auto"/>
        <w:right w:val="none" w:sz="0" w:space="0" w:color="auto"/>
      </w:divBdr>
      <w:divsChild>
        <w:div w:id="1412771737">
          <w:marLeft w:val="0"/>
          <w:marRight w:val="0"/>
          <w:marTop w:val="0"/>
          <w:marBottom w:val="0"/>
          <w:divBdr>
            <w:top w:val="none" w:sz="0" w:space="0" w:color="3D3D3D"/>
            <w:left w:val="none" w:sz="0" w:space="0" w:color="3D3D3D"/>
            <w:bottom w:val="none" w:sz="0" w:space="0" w:color="3D3D3D"/>
            <w:right w:val="none" w:sz="0" w:space="0" w:color="3D3D3D"/>
          </w:divBdr>
          <w:divsChild>
            <w:div w:id="6461306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18354012">
      <w:bodyDiv w:val="1"/>
      <w:marLeft w:val="0"/>
      <w:marRight w:val="0"/>
      <w:marTop w:val="0"/>
      <w:marBottom w:val="0"/>
      <w:divBdr>
        <w:top w:val="none" w:sz="0" w:space="0" w:color="auto"/>
        <w:left w:val="none" w:sz="0" w:space="0" w:color="auto"/>
        <w:bottom w:val="none" w:sz="0" w:space="0" w:color="auto"/>
        <w:right w:val="none" w:sz="0" w:space="0" w:color="auto"/>
      </w:divBdr>
      <w:divsChild>
        <w:div w:id="967200477">
          <w:marLeft w:val="0"/>
          <w:marRight w:val="0"/>
          <w:marTop w:val="0"/>
          <w:marBottom w:val="0"/>
          <w:divBdr>
            <w:top w:val="none" w:sz="0" w:space="0" w:color="3D3D3D"/>
            <w:left w:val="none" w:sz="0" w:space="0" w:color="3D3D3D"/>
            <w:bottom w:val="none" w:sz="0" w:space="0" w:color="3D3D3D"/>
            <w:right w:val="none" w:sz="0" w:space="0" w:color="3D3D3D"/>
          </w:divBdr>
          <w:divsChild>
            <w:div w:id="3288265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5678950">
      <w:bodyDiv w:val="1"/>
      <w:marLeft w:val="0"/>
      <w:marRight w:val="0"/>
      <w:marTop w:val="0"/>
      <w:marBottom w:val="0"/>
      <w:divBdr>
        <w:top w:val="none" w:sz="0" w:space="0" w:color="auto"/>
        <w:left w:val="none" w:sz="0" w:space="0" w:color="auto"/>
        <w:bottom w:val="none" w:sz="0" w:space="0" w:color="auto"/>
        <w:right w:val="none" w:sz="0" w:space="0" w:color="auto"/>
      </w:divBdr>
      <w:divsChild>
        <w:div w:id="2018653549">
          <w:marLeft w:val="0"/>
          <w:marRight w:val="0"/>
          <w:marTop w:val="0"/>
          <w:marBottom w:val="0"/>
          <w:divBdr>
            <w:top w:val="none" w:sz="0" w:space="0" w:color="3D3D3D"/>
            <w:left w:val="none" w:sz="0" w:space="0" w:color="3D3D3D"/>
            <w:bottom w:val="none" w:sz="0" w:space="0" w:color="3D3D3D"/>
            <w:right w:val="none" w:sz="0" w:space="0" w:color="3D3D3D"/>
          </w:divBdr>
          <w:divsChild>
            <w:div w:id="20600838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38930542">
      <w:bodyDiv w:val="1"/>
      <w:marLeft w:val="0"/>
      <w:marRight w:val="0"/>
      <w:marTop w:val="0"/>
      <w:marBottom w:val="0"/>
      <w:divBdr>
        <w:top w:val="none" w:sz="0" w:space="0" w:color="auto"/>
        <w:left w:val="none" w:sz="0" w:space="0" w:color="auto"/>
        <w:bottom w:val="none" w:sz="0" w:space="0" w:color="auto"/>
        <w:right w:val="none" w:sz="0" w:space="0" w:color="auto"/>
      </w:divBdr>
      <w:divsChild>
        <w:div w:id="1090008195">
          <w:marLeft w:val="0"/>
          <w:marRight w:val="0"/>
          <w:marTop w:val="0"/>
          <w:marBottom w:val="0"/>
          <w:divBdr>
            <w:top w:val="none" w:sz="0" w:space="0" w:color="3D3D3D"/>
            <w:left w:val="none" w:sz="0" w:space="0" w:color="3D3D3D"/>
            <w:bottom w:val="none" w:sz="0" w:space="0" w:color="3D3D3D"/>
            <w:right w:val="none" w:sz="0" w:space="0" w:color="3D3D3D"/>
          </w:divBdr>
          <w:divsChild>
            <w:div w:id="20814396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60290465">
      <w:bodyDiv w:val="1"/>
      <w:marLeft w:val="0"/>
      <w:marRight w:val="0"/>
      <w:marTop w:val="0"/>
      <w:marBottom w:val="0"/>
      <w:divBdr>
        <w:top w:val="none" w:sz="0" w:space="0" w:color="auto"/>
        <w:left w:val="none" w:sz="0" w:space="0" w:color="auto"/>
        <w:bottom w:val="none" w:sz="0" w:space="0" w:color="auto"/>
        <w:right w:val="none" w:sz="0" w:space="0" w:color="auto"/>
      </w:divBdr>
      <w:divsChild>
        <w:div w:id="1274897372">
          <w:marLeft w:val="0"/>
          <w:marRight w:val="0"/>
          <w:marTop w:val="0"/>
          <w:marBottom w:val="0"/>
          <w:divBdr>
            <w:top w:val="none" w:sz="0" w:space="0" w:color="3D3D3D"/>
            <w:left w:val="none" w:sz="0" w:space="0" w:color="3D3D3D"/>
            <w:bottom w:val="none" w:sz="0" w:space="0" w:color="3D3D3D"/>
            <w:right w:val="none" w:sz="0" w:space="0" w:color="3D3D3D"/>
          </w:divBdr>
          <w:divsChild>
            <w:div w:id="14472373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75629899">
      <w:bodyDiv w:val="1"/>
      <w:marLeft w:val="0"/>
      <w:marRight w:val="0"/>
      <w:marTop w:val="0"/>
      <w:marBottom w:val="0"/>
      <w:divBdr>
        <w:top w:val="none" w:sz="0" w:space="0" w:color="auto"/>
        <w:left w:val="none" w:sz="0" w:space="0" w:color="auto"/>
        <w:bottom w:val="none" w:sz="0" w:space="0" w:color="auto"/>
        <w:right w:val="none" w:sz="0" w:space="0" w:color="auto"/>
      </w:divBdr>
      <w:divsChild>
        <w:div w:id="604963254">
          <w:marLeft w:val="0"/>
          <w:marRight w:val="0"/>
          <w:marTop w:val="0"/>
          <w:marBottom w:val="0"/>
          <w:divBdr>
            <w:top w:val="none" w:sz="0" w:space="0" w:color="3D3D3D"/>
            <w:left w:val="none" w:sz="0" w:space="0" w:color="3D3D3D"/>
            <w:bottom w:val="none" w:sz="0" w:space="0" w:color="3D3D3D"/>
            <w:right w:val="none" w:sz="0" w:space="0" w:color="3D3D3D"/>
          </w:divBdr>
          <w:divsChild>
            <w:div w:id="22873113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00644129">
      <w:bodyDiv w:val="1"/>
      <w:marLeft w:val="0"/>
      <w:marRight w:val="0"/>
      <w:marTop w:val="0"/>
      <w:marBottom w:val="0"/>
      <w:divBdr>
        <w:top w:val="none" w:sz="0" w:space="0" w:color="auto"/>
        <w:left w:val="none" w:sz="0" w:space="0" w:color="auto"/>
        <w:bottom w:val="none" w:sz="0" w:space="0" w:color="auto"/>
        <w:right w:val="none" w:sz="0" w:space="0" w:color="auto"/>
      </w:divBdr>
      <w:divsChild>
        <w:div w:id="52657535">
          <w:marLeft w:val="0"/>
          <w:marRight w:val="0"/>
          <w:marTop w:val="0"/>
          <w:marBottom w:val="0"/>
          <w:divBdr>
            <w:top w:val="none" w:sz="0" w:space="0" w:color="3D3D3D"/>
            <w:left w:val="none" w:sz="0" w:space="0" w:color="3D3D3D"/>
            <w:bottom w:val="none" w:sz="0" w:space="0" w:color="3D3D3D"/>
            <w:right w:val="none" w:sz="0" w:space="0" w:color="3D3D3D"/>
          </w:divBdr>
          <w:divsChild>
            <w:div w:id="13722654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08582651">
      <w:bodyDiv w:val="1"/>
      <w:marLeft w:val="0"/>
      <w:marRight w:val="0"/>
      <w:marTop w:val="0"/>
      <w:marBottom w:val="0"/>
      <w:divBdr>
        <w:top w:val="none" w:sz="0" w:space="0" w:color="auto"/>
        <w:left w:val="none" w:sz="0" w:space="0" w:color="auto"/>
        <w:bottom w:val="none" w:sz="0" w:space="0" w:color="auto"/>
        <w:right w:val="none" w:sz="0" w:space="0" w:color="auto"/>
      </w:divBdr>
      <w:divsChild>
        <w:div w:id="223373944">
          <w:marLeft w:val="0"/>
          <w:marRight w:val="0"/>
          <w:marTop w:val="0"/>
          <w:marBottom w:val="0"/>
          <w:divBdr>
            <w:top w:val="none" w:sz="0" w:space="0" w:color="3D3D3D"/>
            <w:left w:val="none" w:sz="0" w:space="0" w:color="3D3D3D"/>
            <w:bottom w:val="none" w:sz="0" w:space="0" w:color="3D3D3D"/>
            <w:right w:val="none" w:sz="0" w:space="0" w:color="3D3D3D"/>
          </w:divBdr>
          <w:divsChild>
            <w:div w:id="16928747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51980967">
      <w:bodyDiv w:val="1"/>
      <w:marLeft w:val="0"/>
      <w:marRight w:val="0"/>
      <w:marTop w:val="0"/>
      <w:marBottom w:val="0"/>
      <w:divBdr>
        <w:top w:val="none" w:sz="0" w:space="0" w:color="auto"/>
        <w:left w:val="none" w:sz="0" w:space="0" w:color="auto"/>
        <w:bottom w:val="none" w:sz="0" w:space="0" w:color="auto"/>
        <w:right w:val="none" w:sz="0" w:space="0" w:color="auto"/>
      </w:divBdr>
      <w:divsChild>
        <w:div w:id="545795406">
          <w:marLeft w:val="0"/>
          <w:marRight w:val="0"/>
          <w:marTop w:val="0"/>
          <w:marBottom w:val="0"/>
          <w:divBdr>
            <w:top w:val="none" w:sz="0" w:space="0" w:color="3D3D3D"/>
            <w:left w:val="none" w:sz="0" w:space="0" w:color="3D3D3D"/>
            <w:bottom w:val="none" w:sz="0" w:space="0" w:color="3D3D3D"/>
            <w:right w:val="none" w:sz="0" w:space="0" w:color="3D3D3D"/>
          </w:divBdr>
          <w:divsChild>
            <w:div w:id="1192993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4934888">
      <w:bodyDiv w:val="1"/>
      <w:marLeft w:val="0"/>
      <w:marRight w:val="0"/>
      <w:marTop w:val="0"/>
      <w:marBottom w:val="0"/>
      <w:divBdr>
        <w:top w:val="none" w:sz="0" w:space="0" w:color="auto"/>
        <w:left w:val="none" w:sz="0" w:space="0" w:color="auto"/>
        <w:bottom w:val="none" w:sz="0" w:space="0" w:color="auto"/>
        <w:right w:val="none" w:sz="0" w:space="0" w:color="auto"/>
      </w:divBdr>
    </w:div>
    <w:div w:id="696736621">
      <w:bodyDiv w:val="1"/>
      <w:marLeft w:val="0"/>
      <w:marRight w:val="0"/>
      <w:marTop w:val="0"/>
      <w:marBottom w:val="0"/>
      <w:divBdr>
        <w:top w:val="none" w:sz="0" w:space="0" w:color="auto"/>
        <w:left w:val="none" w:sz="0" w:space="0" w:color="auto"/>
        <w:bottom w:val="none" w:sz="0" w:space="0" w:color="auto"/>
        <w:right w:val="none" w:sz="0" w:space="0" w:color="auto"/>
      </w:divBdr>
      <w:divsChild>
        <w:div w:id="758520912">
          <w:marLeft w:val="0"/>
          <w:marRight w:val="0"/>
          <w:marTop w:val="0"/>
          <w:marBottom w:val="0"/>
          <w:divBdr>
            <w:top w:val="none" w:sz="0" w:space="0" w:color="3D3D3D"/>
            <w:left w:val="none" w:sz="0" w:space="0" w:color="3D3D3D"/>
            <w:bottom w:val="none" w:sz="0" w:space="0" w:color="3D3D3D"/>
            <w:right w:val="none" w:sz="0" w:space="0" w:color="3D3D3D"/>
          </w:divBdr>
          <w:divsChild>
            <w:div w:id="3662258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5495261">
      <w:bodyDiv w:val="1"/>
      <w:marLeft w:val="0"/>
      <w:marRight w:val="0"/>
      <w:marTop w:val="0"/>
      <w:marBottom w:val="0"/>
      <w:divBdr>
        <w:top w:val="none" w:sz="0" w:space="0" w:color="auto"/>
        <w:left w:val="none" w:sz="0" w:space="0" w:color="auto"/>
        <w:bottom w:val="none" w:sz="0" w:space="0" w:color="auto"/>
        <w:right w:val="none" w:sz="0" w:space="0" w:color="auto"/>
      </w:divBdr>
      <w:divsChild>
        <w:div w:id="646016779">
          <w:marLeft w:val="0"/>
          <w:marRight w:val="0"/>
          <w:marTop w:val="0"/>
          <w:marBottom w:val="0"/>
          <w:divBdr>
            <w:top w:val="none" w:sz="0" w:space="0" w:color="3D3D3D"/>
            <w:left w:val="none" w:sz="0" w:space="0" w:color="3D3D3D"/>
            <w:bottom w:val="none" w:sz="0" w:space="0" w:color="3D3D3D"/>
            <w:right w:val="none" w:sz="0" w:space="0" w:color="3D3D3D"/>
          </w:divBdr>
          <w:divsChild>
            <w:div w:id="15607070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21290507">
      <w:bodyDiv w:val="1"/>
      <w:marLeft w:val="0"/>
      <w:marRight w:val="0"/>
      <w:marTop w:val="0"/>
      <w:marBottom w:val="0"/>
      <w:divBdr>
        <w:top w:val="none" w:sz="0" w:space="0" w:color="auto"/>
        <w:left w:val="none" w:sz="0" w:space="0" w:color="auto"/>
        <w:bottom w:val="none" w:sz="0" w:space="0" w:color="auto"/>
        <w:right w:val="none" w:sz="0" w:space="0" w:color="auto"/>
      </w:divBdr>
    </w:div>
    <w:div w:id="730886923">
      <w:bodyDiv w:val="1"/>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3D3D3D"/>
            <w:left w:val="none" w:sz="0" w:space="0" w:color="3D3D3D"/>
            <w:bottom w:val="none" w:sz="0" w:space="0" w:color="3D3D3D"/>
            <w:right w:val="none" w:sz="0" w:space="0" w:color="3D3D3D"/>
          </w:divBdr>
          <w:divsChild>
            <w:div w:id="19870099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62266993">
      <w:bodyDiv w:val="1"/>
      <w:marLeft w:val="0"/>
      <w:marRight w:val="0"/>
      <w:marTop w:val="0"/>
      <w:marBottom w:val="0"/>
      <w:divBdr>
        <w:top w:val="none" w:sz="0" w:space="0" w:color="auto"/>
        <w:left w:val="none" w:sz="0" w:space="0" w:color="auto"/>
        <w:bottom w:val="none" w:sz="0" w:space="0" w:color="auto"/>
        <w:right w:val="none" w:sz="0" w:space="0" w:color="auto"/>
      </w:divBdr>
      <w:divsChild>
        <w:div w:id="1986397215">
          <w:marLeft w:val="0"/>
          <w:marRight w:val="0"/>
          <w:marTop w:val="0"/>
          <w:marBottom w:val="0"/>
          <w:divBdr>
            <w:top w:val="none" w:sz="0" w:space="0" w:color="3D3D3D"/>
            <w:left w:val="none" w:sz="0" w:space="0" w:color="3D3D3D"/>
            <w:bottom w:val="none" w:sz="0" w:space="0" w:color="3D3D3D"/>
            <w:right w:val="none" w:sz="0" w:space="0" w:color="3D3D3D"/>
          </w:divBdr>
          <w:divsChild>
            <w:div w:id="18797753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79956044">
      <w:bodyDiv w:val="1"/>
      <w:marLeft w:val="0"/>
      <w:marRight w:val="0"/>
      <w:marTop w:val="0"/>
      <w:marBottom w:val="0"/>
      <w:divBdr>
        <w:top w:val="none" w:sz="0" w:space="0" w:color="auto"/>
        <w:left w:val="none" w:sz="0" w:space="0" w:color="auto"/>
        <w:bottom w:val="none" w:sz="0" w:space="0" w:color="auto"/>
        <w:right w:val="none" w:sz="0" w:space="0" w:color="auto"/>
      </w:divBdr>
      <w:divsChild>
        <w:div w:id="1409185294">
          <w:marLeft w:val="0"/>
          <w:marRight w:val="0"/>
          <w:marTop w:val="0"/>
          <w:marBottom w:val="0"/>
          <w:divBdr>
            <w:top w:val="none" w:sz="0" w:space="0" w:color="3D3D3D"/>
            <w:left w:val="none" w:sz="0" w:space="0" w:color="3D3D3D"/>
            <w:bottom w:val="none" w:sz="0" w:space="0" w:color="3D3D3D"/>
            <w:right w:val="none" w:sz="0" w:space="0" w:color="3D3D3D"/>
          </w:divBdr>
          <w:divsChild>
            <w:div w:id="20815177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74925054">
      <w:bodyDiv w:val="1"/>
      <w:marLeft w:val="0"/>
      <w:marRight w:val="0"/>
      <w:marTop w:val="0"/>
      <w:marBottom w:val="0"/>
      <w:divBdr>
        <w:top w:val="none" w:sz="0" w:space="0" w:color="auto"/>
        <w:left w:val="none" w:sz="0" w:space="0" w:color="auto"/>
        <w:bottom w:val="none" w:sz="0" w:space="0" w:color="auto"/>
        <w:right w:val="none" w:sz="0" w:space="0" w:color="auto"/>
      </w:divBdr>
      <w:divsChild>
        <w:div w:id="162939266">
          <w:marLeft w:val="0"/>
          <w:marRight w:val="0"/>
          <w:marTop w:val="0"/>
          <w:marBottom w:val="0"/>
          <w:divBdr>
            <w:top w:val="none" w:sz="0" w:space="0" w:color="3D3D3D"/>
            <w:left w:val="none" w:sz="0" w:space="0" w:color="3D3D3D"/>
            <w:bottom w:val="none" w:sz="0" w:space="0" w:color="3D3D3D"/>
            <w:right w:val="none" w:sz="0" w:space="0" w:color="3D3D3D"/>
          </w:divBdr>
          <w:divsChild>
            <w:div w:id="2822678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82450753">
      <w:bodyDiv w:val="1"/>
      <w:marLeft w:val="0"/>
      <w:marRight w:val="0"/>
      <w:marTop w:val="0"/>
      <w:marBottom w:val="0"/>
      <w:divBdr>
        <w:top w:val="none" w:sz="0" w:space="0" w:color="auto"/>
        <w:left w:val="none" w:sz="0" w:space="0" w:color="auto"/>
        <w:bottom w:val="none" w:sz="0" w:space="0" w:color="auto"/>
        <w:right w:val="none" w:sz="0" w:space="0" w:color="auto"/>
      </w:divBdr>
      <w:divsChild>
        <w:div w:id="970553334">
          <w:marLeft w:val="0"/>
          <w:marRight w:val="0"/>
          <w:marTop w:val="0"/>
          <w:marBottom w:val="0"/>
          <w:divBdr>
            <w:top w:val="none" w:sz="0" w:space="0" w:color="3D3D3D"/>
            <w:left w:val="none" w:sz="0" w:space="0" w:color="3D3D3D"/>
            <w:bottom w:val="none" w:sz="0" w:space="0" w:color="3D3D3D"/>
            <w:right w:val="none" w:sz="0" w:space="0" w:color="3D3D3D"/>
          </w:divBdr>
          <w:divsChild>
            <w:div w:id="14857775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92540039">
      <w:bodyDiv w:val="1"/>
      <w:marLeft w:val="0"/>
      <w:marRight w:val="0"/>
      <w:marTop w:val="0"/>
      <w:marBottom w:val="0"/>
      <w:divBdr>
        <w:top w:val="none" w:sz="0" w:space="0" w:color="auto"/>
        <w:left w:val="none" w:sz="0" w:space="0" w:color="auto"/>
        <w:bottom w:val="none" w:sz="0" w:space="0" w:color="auto"/>
        <w:right w:val="none" w:sz="0" w:space="0" w:color="auto"/>
      </w:divBdr>
      <w:divsChild>
        <w:div w:id="1156267464">
          <w:marLeft w:val="0"/>
          <w:marRight w:val="0"/>
          <w:marTop w:val="0"/>
          <w:marBottom w:val="0"/>
          <w:divBdr>
            <w:top w:val="none" w:sz="0" w:space="0" w:color="3D3D3D"/>
            <w:left w:val="none" w:sz="0" w:space="0" w:color="3D3D3D"/>
            <w:bottom w:val="none" w:sz="0" w:space="0" w:color="3D3D3D"/>
            <w:right w:val="none" w:sz="0" w:space="0" w:color="3D3D3D"/>
          </w:divBdr>
          <w:divsChild>
            <w:div w:id="19767183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5185874">
      <w:bodyDiv w:val="1"/>
      <w:marLeft w:val="0"/>
      <w:marRight w:val="0"/>
      <w:marTop w:val="0"/>
      <w:marBottom w:val="0"/>
      <w:divBdr>
        <w:top w:val="none" w:sz="0" w:space="0" w:color="auto"/>
        <w:left w:val="none" w:sz="0" w:space="0" w:color="auto"/>
        <w:bottom w:val="none" w:sz="0" w:space="0" w:color="auto"/>
        <w:right w:val="none" w:sz="0" w:space="0" w:color="auto"/>
      </w:divBdr>
      <w:divsChild>
        <w:div w:id="1950241149">
          <w:marLeft w:val="0"/>
          <w:marRight w:val="0"/>
          <w:marTop w:val="0"/>
          <w:marBottom w:val="0"/>
          <w:divBdr>
            <w:top w:val="none" w:sz="0" w:space="0" w:color="3D3D3D"/>
            <w:left w:val="none" w:sz="0" w:space="0" w:color="3D3D3D"/>
            <w:bottom w:val="none" w:sz="0" w:space="0" w:color="3D3D3D"/>
            <w:right w:val="none" w:sz="0" w:space="0" w:color="3D3D3D"/>
          </w:divBdr>
          <w:divsChild>
            <w:div w:id="12826159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17783610">
      <w:bodyDiv w:val="1"/>
      <w:marLeft w:val="0"/>
      <w:marRight w:val="0"/>
      <w:marTop w:val="0"/>
      <w:marBottom w:val="0"/>
      <w:divBdr>
        <w:top w:val="none" w:sz="0" w:space="0" w:color="auto"/>
        <w:left w:val="none" w:sz="0" w:space="0" w:color="auto"/>
        <w:bottom w:val="none" w:sz="0" w:space="0" w:color="auto"/>
        <w:right w:val="none" w:sz="0" w:space="0" w:color="auto"/>
      </w:divBdr>
      <w:divsChild>
        <w:div w:id="98842679">
          <w:marLeft w:val="0"/>
          <w:marRight w:val="0"/>
          <w:marTop w:val="0"/>
          <w:marBottom w:val="0"/>
          <w:divBdr>
            <w:top w:val="none" w:sz="0" w:space="0" w:color="3D3D3D"/>
            <w:left w:val="none" w:sz="0" w:space="0" w:color="3D3D3D"/>
            <w:bottom w:val="none" w:sz="0" w:space="0" w:color="3D3D3D"/>
            <w:right w:val="none" w:sz="0" w:space="0" w:color="3D3D3D"/>
          </w:divBdr>
          <w:divsChild>
            <w:div w:id="111057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29198363">
      <w:bodyDiv w:val="1"/>
      <w:marLeft w:val="0"/>
      <w:marRight w:val="0"/>
      <w:marTop w:val="0"/>
      <w:marBottom w:val="0"/>
      <w:divBdr>
        <w:top w:val="none" w:sz="0" w:space="0" w:color="auto"/>
        <w:left w:val="none" w:sz="0" w:space="0" w:color="auto"/>
        <w:bottom w:val="none" w:sz="0" w:space="0" w:color="auto"/>
        <w:right w:val="none" w:sz="0" w:space="0" w:color="auto"/>
      </w:divBdr>
      <w:divsChild>
        <w:div w:id="1846825914">
          <w:marLeft w:val="0"/>
          <w:marRight w:val="0"/>
          <w:marTop w:val="0"/>
          <w:marBottom w:val="0"/>
          <w:divBdr>
            <w:top w:val="none" w:sz="0" w:space="0" w:color="3D3D3D"/>
            <w:left w:val="none" w:sz="0" w:space="0" w:color="3D3D3D"/>
            <w:bottom w:val="none" w:sz="0" w:space="0" w:color="3D3D3D"/>
            <w:right w:val="none" w:sz="0" w:space="0" w:color="3D3D3D"/>
          </w:divBdr>
          <w:divsChild>
            <w:div w:id="1248115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83436779">
      <w:bodyDiv w:val="1"/>
      <w:marLeft w:val="0"/>
      <w:marRight w:val="0"/>
      <w:marTop w:val="0"/>
      <w:marBottom w:val="0"/>
      <w:divBdr>
        <w:top w:val="none" w:sz="0" w:space="0" w:color="auto"/>
        <w:left w:val="none" w:sz="0" w:space="0" w:color="auto"/>
        <w:bottom w:val="none" w:sz="0" w:space="0" w:color="auto"/>
        <w:right w:val="none" w:sz="0" w:space="0" w:color="auto"/>
      </w:divBdr>
      <w:divsChild>
        <w:div w:id="986322366">
          <w:marLeft w:val="0"/>
          <w:marRight w:val="0"/>
          <w:marTop w:val="0"/>
          <w:marBottom w:val="0"/>
          <w:divBdr>
            <w:top w:val="none" w:sz="0" w:space="0" w:color="3D3D3D"/>
            <w:left w:val="none" w:sz="0" w:space="0" w:color="3D3D3D"/>
            <w:bottom w:val="none" w:sz="0" w:space="0" w:color="3D3D3D"/>
            <w:right w:val="none" w:sz="0" w:space="0" w:color="3D3D3D"/>
          </w:divBdr>
          <w:divsChild>
            <w:div w:id="11280832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8943493">
      <w:bodyDiv w:val="1"/>
      <w:marLeft w:val="0"/>
      <w:marRight w:val="0"/>
      <w:marTop w:val="0"/>
      <w:marBottom w:val="0"/>
      <w:divBdr>
        <w:top w:val="none" w:sz="0" w:space="0" w:color="auto"/>
        <w:left w:val="none" w:sz="0" w:space="0" w:color="auto"/>
        <w:bottom w:val="none" w:sz="0" w:space="0" w:color="auto"/>
        <w:right w:val="none" w:sz="0" w:space="0" w:color="auto"/>
      </w:divBdr>
      <w:divsChild>
        <w:div w:id="942613334">
          <w:marLeft w:val="0"/>
          <w:marRight w:val="0"/>
          <w:marTop w:val="0"/>
          <w:marBottom w:val="0"/>
          <w:divBdr>
            <w:top w:val="none" w:sz="0" w:space="0" w:color="3D3D3D"/>
            <w:left w:val="none" w:sz="0" w:space="0" w:color="3D3D3D"/>
            <w:bottom w:val="none" w:sz="0" w:space="0" w:color="3D3D3D"/>
            <w:right w:val="none" w:sz="0" w:space="0" w:color="3D3D3D"/>
          </w:divBdr>
          <w:divsChild>
            <w:div w:id="14727442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4843011">
      <w:bodyDiv w:val="1"/>
      <w:marLeft w:val="0"/>
      <w:marRight w:val="0"/>
      <w:marTop w:val="0"/>
      <w:marBottom w:val="0"/>
      <w:divBdr>
        <w:top w:val="none" w:sz="0" w:space="0" w:color="auto"/>
        <w:left w:val="none" w:sz="0" w:space="0" w:color="auto"/>
        <w:bottom w:val="none" w:sz="0" w:space="0" w:color="auto"/>
        <w:right w:val="none" w:sz="0" w:space="0" w:color="auto"/>
      </w:divBdr>
      <w:divsChild>
        <w:div w:id="786461992">
          <w:marLeft w:val="0"/>
          <w:marRight w:val="0"/>
          <w:marTop w:val="0"/>
          <w:marBottom w:val="0"/>
          <w:divBdr>
            <w:top w:val="none" w:sz="0" w:space="0" w:color="3D3D3D"/>
            <w:left w:val="none" w:sz="0" w:space="0" w:color="3D3D3D"/>
            <w:bottom w:val="none" w:sz="0" w:space="0" w:color="3D3D3D"/>
            <w:right w:val="none" w:sz="0" w:space="0" w:color="3D3D3D"/>
          </w:divBdr>
          <w:divsChild>
            <w:div w:id="15277191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25866178">
      <w:bodyDiv w:val="1"/>
      <w:marLeft w:val="0"/>
      <w:marRight w:val="0"/>
      <w:marTop w:val="0"/>
      <w:marBottom w:val="0"/>
      <w:divBdr>
        <w:top w:val="none" w:sz="0" w:space="0" w:color="auto"/>
        <w:left w:val="none" w:sz="0" w:space="0" w:color="auto"/>
        <w:bottom w:val="none" w:sz="0" w:space="0" w:color="auto"/>
        <w:right w:val="none" w:sz="0" w:space="0" w:color="auto"/>
      </w:divBdr>
      <w:divsChild>
        <w:div w:id="124739762">
          <w:marLeft w:val="0"/>
          <w:marRight w:val="0"/>
          <w:marTop w:val="0"/>
          <w:marBottom w:val="0"/>
          <w:divBdr>
            <w:top w:val="none" w:sz="0" w:space="0" w:color="3D3D3D"/>
            <w:left w:val="none" w:sz="0" w:space="0" w:color="3D3D3D"/>
            <w:bottom w:val="none" w:sz="0" w:space="0" w:color="3D3D3D"/>
            <w:right w:val="none" w:sz="0" w:space="0" w:color="3D3D3D"/>
          </w:divBdr>
          <w:divsChild>
            <w:div w:id="15424762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5034770">
      <w:bodyDiv w:val="1"/>
      <w:marLeft w:val="0"/>
      <w:marRight w:val="0"/>
      <w:marTop w:val="0"/>
      <w:marBottom w:val="0"/>
      <w:divBdr>
        <w:top w:val="none" w:sz="0" w:space="0" w:color="auto"/>
        <w:left w:val="none" w:sz="0" w:space="0" w:color="auto"/>
        <w:bottom w:val="none" w:sz="0" w:space="0" w:color="auto"/>
        <w:right w:val="none" w:sz="0" w:space="0" w:color="auto"/>
      </w:divBdr>
      <w:divsChild>
        <w:div w:id="101075601">
          <w:marLeft w:val="0"/>
          <w:marRight w:val="0"/>
          <w:marTop w:val="0"/>
          <w:marBottom w:val="0"/>
          <w:divBdr>
            <w:top w:val="none" w:sz="0" w:space="0" w:color="3D3D3D"/>
            <w:left w:val="none" w:sz="0" w:space="0" w:color="3D3D3D"/>
            <w:bottom w:val="none" w:sz="0" w:space="0" w:color="3D3D3D"/>
            <w:right w:val="none" w:sz="0" w:space="0" w:color="3D3D3D"/>
          </w:divBdr>
          <w:divsChild>
            <w:div w:id="8388914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62212674">
      <w:bodyDiv w:val="1"/>
      <w:marLeft w:val="0"/>
      <w:marRight w:val="0"/>
      <w:marTop w:val="0"/>
      <w:marBottom w:val="0"/>
      <w:divBdr>
        <w:top w:val="none" w:sz="0" w:space="0" w:color="auto"/>
        <w:left w:val="none" w:sz="0" w:space="0" w:color="auto"/>
        <w:bottom w:val="none" w:sz="0" w:space="0" w:color="auto"/>
        <w:right w:val="none" w:sz="0" w:space="0" w:color="auto"/>
      </w:divBdr>
      <w:divsChild>
        <w:div w:id="1846935797">
          <w:marLeft w:val="0"/>
          <w:marRight w:val="0"/>
          <w:marTop w:val="0"/>
          <w:marBottom w:val="0"/>
          <w:divBdr>
            <w:top w:val="none" w:sz="0" w:space="0" w:color="3D3D3D"/>
            <w:left w:val="none" w:sz="0" w:space="0" w:color="3D3D3D"/>
            <w:bottom w:val="none" w:sz="0" w:space="0" w:color="3D3D3D"/>
            <w:right w:val="none" w:sz="0" w:space="0" w:color="3D3D3D"/>
          </w:divBdr>
          <w:divsChild>
            <w:div w:id="9924427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87381627">
      <w:bodyDiv w:val="1"/>
      <w:marLeft w:val="0"/>
      <w:marRight w:val="0"/>
      <w:marTop w:val="0"/>
      <w:marBottom w:val="0"/>
      <w:divBdr>
        <w:top w:val="none" w:sz="0" w:space="0" w:color="auto"/>
        <w:left w:val="none" w:sz="0" w:space="0" w:color="auto"/>
        <w:bottom w:val="none" w:sz="0" w:space="0" w:color="auto"/>
        <w:right w:val="none" w:sz="0" w:space="0" w:color="auto"/>
      </w:divBdr>
      <w:divsChild>
        <w:div w:id="2094353562">
          <w:marLeft w:val="0"/>
          <w:marRight w:val="0"/>
          <w:marTop w:val="0"/>
          <w:marBottom w:val="0"/>
          <w:divBdr>
            <w:top w:val="none" w:sz="0" w:space="0" w:color="3D3D3D"/>
            <w:left w:val="none" w:sz="0" w:space="0" w:color="3D3D3D"/>
            <w:bottom w:val="none" w:sz="0" w:space="0" w:color="3D3D3D"/>
            <w:right w:val="none" w:sz="0" w:space="0" w:color="3D3D3D"/>
          </w:divBdr>
          <w:divsChild>
            <w:div w:id="15685396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88700309">
      <w:bodyDiv w:val="1"/>
      <w:marLeft w:val="0"/>
      <w:marRight w:val="0"/>
      <w:marTop w:val="0"/>
      <w:marBottom w:val="0"/>
      <w:divBdr>
        <w:top w:val="none" w:sz="0" w:space="0" w:color="auto"/>
        <w:left w:val="none" w:sz="0" w:space="0" w:color="auto"/>
        <w:bottom w:val="none" w:sz="0" w:space="0" w:color="auto"/>
        <w:right w:val="none" w:sz="0" w:space="0" w:color="auto"/>
      </w:divBdr>
      <w:divsChild>
        <w:div w:id="1435519063">
          <w:marLeft w:val="0"/>
          <w:marRight w:val="0"/>
          <w:marTop w:val="0"/>
          <w:marBottom w:val="0"/>
          <w:divBdr>
            <w:top w:val="none" w:sz="0" w:space="0" w:color="3D3D3D"/>
            <w:left w:val="none" w:sz="0" w:space="0" w:color="3D3D3D"/>
            <w:bottom w:val="none" w:sz="0" w:space="0" w:color="3D3D3D"/>
            <w:right w:val="none" w:sz="0" w:space="0" w:color="3D3D3D"/>
          </w:divBdr>
          <w:divsChild>
            <w:div w:id="168598152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89548134">
      <w:bodyDiv w:val="1"/>
      <w:marLeft w:val="0"/>
      <w:marRight w:val="0"/>
      <w:marTop w:val="0"/>
      <w:marBottom w:val="0"/>
      <w:divBdr>
        <w:top w:val="none" w:sz="0" w:space="0" w:color="auto"/>
        <w:left w:val="none" w:sz="0" w:space="0" w:color="auto"/>
        <w:bottom w:val="none" w:sz="0" w:space="0" w:color="auto"/>
        <w:right w:val="none" w:sz="0" w:space="0" w:color="auto"/>
      </w:divBdr>
      <w:divsChild>
        <w:div w:id="1689327586">
          <w:marLeft w:val="0"/>
          <w:marRight w:val="0"/>
          <w:marTop w:val="0"/>
          <w:marBottom w:val="0"/>
          <w:divBdr>
            <w:top w:val="none" w:sz="0" w:space="0" w:color="3D3D3D"/>
            <w:left w:val="none" w:sz="0" w:space="0" w:color="3D3D3D"/>
            <w:bottom w:val="none" w:sz="0" w:space="0" w:color="3D3D3D"/>
            <w:right w:val="none" w:sz="0" w:space="0" w:color="3D3D3D"/>
          </w:divBdr>
          <w:divsChild>
            <w:div w:id="10253252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08742341">
      <w:bodyDiv w:val="1"/>
      <w:marLeft w:val="0"/>
      <w:marRight w:val="0"/>
      <w:marTop w:val="0"/>
      <w:marBottom w:val="0"/>
      <w:divBdr>
        <w:top w:val="none" w:sz="0" w:space="0" w:color="auto"/>
        <w:left w:val="none" w:sz="0" w:space="0" w:color="auto"/>
        <w:bottom w:val="none" w:sz="0" w:space="0" w:color="auto"/>
        <w:right w:val="none" w:sz="0" w:space="0" w:color="auto"/>
      </w:divBdr>
    </w:div>
    <w:div w:id="1125851717">
      <w:bodyDiv w:val="1"/>
      <w:marLeft w:val="0"/>
      <w:marRight w:val="0"/>
      <w:marTop w:val="0"/>
      <w:marBottom w:val="0"/>
      <w:divBdr>
        <w:top w:val="none" w:sz="0" w:space="0" w:color="auto"/>
        <w:left w:val="none" w:sz="0" w:space="0" w:color="auto"/>
        <w:bottom w:val="none" w:sz="0" w:space="0" w:color="auto"/>
        <w:right w:val="none" w:sz="0" w:space="0" w:color="auto"/>
      </w:divBdr>
      <w:divsChild>
        <w:div w:id="486819807">
          <w:marLeft w:val="0"/>
          <w:marRight w:val="0"/>
          <w:marTop w:val="0"/>
          <w:marBottom w:val="0"/>
          <w:divBdr>
            <w:top w:val="none" w:sz="0" w:space="0" w:color="3D3D3D"/>
            <w:left w:val="none" w:sz="0" w:space="0" w:color="3D3D3D"/>
            <w:bottom w:val="none" w:sz="0" w:space="0" w:color="3D3D3D"/>
            <w:right w:val="none" w:sz="0" w:space="0" w:color="3D3D3D"/>
          </w:divBdr>
        </w:div>
      </w:divsChild>
    </w:div>
    <w:div w:id="1135685941">
      <w:bodyDiv w:val="1"/>
      <w:marLeft w:val="0"/>
      <w:marRight w:val="0"/>
      <w:marTop w:val="0"/>
      <w:marBottom w:val="0"/>
      <w:divBdr>
        <w:top w:val="none" w:sz="0" w:space="0" w:color="auto"/>
        <w:left w:val="none" w:sz="0" w:space="0" w:color="auto"/>
        <w:bottom w:val="none" w:sz="0" w:space="0" w:color="auto"/>
        <w:right w:val="none" w:sz="0" w:space="0" w:color="auto"/>
      </w:divBdr>
      <w:divsChild>
        <w:div w:id="1227305148">
          <w:marLeft w:val="0"/>
          <w:marRight w:val="0"/>
          <w:marTop w:val="0"/>
          <w:marBottom w:val="0"/>
          <w:divBdr>
            <w:top w:val="none" w:sz="0" w:space="0" w:color="3D3D3D"/>
            <w:left w:val="none" w:sz="0" w:space="0" w:color="3D3D3D"/>
            <w:bottom w:val="none" w:sz="0" w:space="0" w:color="3D3D3D"/>
            <w:right w:val="none" w:sz="0" w:space="0" w:color="3D3D3D"/>
          </w:divBdr>
          <w:divsChild>
            <w:div w:id="11762614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46896444">
      <w:bodyDiv w:val="1"/>
      <w:marLeft w:val="0"/>
      <w:marRight w:val="0"/>
      <w:marTop w:val="0"/>
      <w:marBottom w:val="0"/>
      <w:divBdr>
        <w:top w:val="none" w:sz="0" w:space="0" w:color="auto"/>
        <w:left w:val="none" w:sz="0" w:space="0" w:color="auto"/>
        <w:bottom w:val="none" w:sz="0" w:space="0" w:color="auto"/>
        <w:right w:val="none" w:sz="0" w:space="0" w:color="auto"/>
      </w:divBdr>
      <w:divsChild>
        <w:div w:id="620768351">
          <w:marLeft w:val="0"/>
          <w:marRight w:val="0"/>
          <w:marTop w:val="0"/>
          <w:marBottom w:val="0"/>
          <w:divBdr>
            <w:top w:val="none" w:sz="0" w:space="0" w:color="3D3D3D"/>
            <w:left w:val="none" w:sz="0" w:space="0" w:color="3D3D3D"/>
            <w:bottom w:val="none" w:sz="0" w:space="0" w:color="3D3D3D"/>
            <w:right w:val="none" w:sz="0" w:space="0" w:color="3D3D3D"/>
          </w:divBdr>
          <w:divsChild>
            <w:div w:id="18249323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60269429">
      <w:bodyDiv w:val="1"/>
      <w:marLeft w:val="0"/>
      <w:marRight w:val="0"/>
      <w:marTop w:val="0"/>
      <w:marBottom w:val="0"/>
      <w:divBdr>
        <w:top w:val="none" w:sz="0" w:space="0" w:color="auto"/>
        <w:left w:val="none" w:sz="0" w:space="0" w:color="auto"/>
        <w:bottom w:val="none" w:sz="0" w:space="0" w:color="auto"/>
        <w:right w:val="none" w:sz="0" w:space="0" w:color="auto"/>
      </w:divBdr>
      <w:divsChild>
        <w:div w:id="1351879095">
          <w:marLeft w:val="0"/>
          <w:marRight w:val="0"/>
          <w:marTop w:val="0"/>
          <w:marBottom w:val="0"/>
          <w:divBdr>
            <w:top w:val="none" w:sz="0" w:space="0" w:color="3D3D3D"/>
            <w:left w:val="none" w:sz="0" w:space="0" w:color="3D3D3D"/>
            <w:bottom w:val="none" w:sz="0" w:space="0" w:color="3D3D3D"/>
            <w:right w:val="none" w:sz="0" w:space="0" w:color="3D3D3D"/>
          </w:divBdr>
          <w:divsChild>
            <w:div w:id="8861821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76190206">
      <w:bodyDiv w:val="1"/>
      <w:marLeft w:val="0"/>
      <w:marRight w:val="0"/>
      <w:marTop w:val="0"/>
      <w:marBottom w:val="0"/>
      <w:divBdr>
        <w:top w:val="none" w:sz="0" w:space="0" w:color="auto"/>
        <w:left w:val="none" w:sz="0" w:space="0" w:color="auto"/>
        <w:bottom w:val="none" w:sz="0" w:space="0" w:color="auto"/>
        <w:right w:val="none" w:sz="0" w:space="0" w:color="auto"/>
      </w:divBdr>
      <w:divsChild>
        <w:div w:id="2072388639">
          <w:marLeft w:val="0"/>
          <w:marRight w:val="0"/>
          <w:marTop w:val="0"/>
          <w:marBottom w:val="0"/>
          <w:divBdr>
            <w:top w:val="none" w:sz="0" w:space="0" w:color="3D3D3D"/>
            <w:left w:val="none" w:sz="0" w:space="0" w:color="3D3D3D"/>
            <w:bottom w:val="none" w:sz="0" w:space="0" w:color="3D3D3D"/>
            <w:right w:val="none" w:sz="0" w:space="0" w:color="3D3D3D"/>
          </w:divBdr>
          <w:divsChild>
            <w:div w:id="19765686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34586531">
      <w:bodyDiv w:val="1"/>
      <w:marLeft w:val="0"/>
      <w:marRight w:val="0"/>
      <w:marTop w:val="0"/>
      <w:marBottom w:val="0"/>
      <w:divBdr>
        <w:top w:val="none" w:sz="0" w:space="0" w:color="auto"/>
        <w:left w:val="none" w:sz="0" w:space="0" w:color="auto"/>
        <w:bottom w:val="none" w:sz="0" w:space="0" w:color="auto"/>
        <w:right w:val="none" w:sz="0" w:space="0" w:color="auto"/>
      </w:divBdr>
      <w:divsChild>
        <w:div w:id="309360500">
          <w:marLeft w:val="0"/>
          <w:marRight w:val="0"/>
          <w:marTop w:val="0"/>
          <w:marBottom w:val="0"/>
          <w:divBdr>
            <w:top w:val="none" w:sz="0" w:space="0" w:color="3D3D3D"/>
            <w:left w:val="none" w:sz="0" w:space="0" w:color="3D3D3D"/>
            <w:bottom w:val="none" w:sz="0" w:space="0" w:color="3D3D3D"/>
            <w:right w:val="none" w:sz="0" w:space="0" w:color="3D3D3D"/>
          </w:divBdr>
          <w:divsChild>
            <w:div w:id="7581339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71400591">
      <w:bodyDiv w:val="1"/>
      <w:marLeft w:val="0"/>
      <w:marRight w:val="0"/>
      <w:marTop w:val="0"/>
      <w:marBottom w:val="0"/>
      <w:divBdr>
        <w:top w:val="none" w:sz="0" w:space="0" w:color="auto"/>
        <w:left w:val="none" w:sz="0" w:space="0" w:color="auto"/>
        <w:bottom w:val="none" w:sz="0" w:space="0" w:color="auto"/>
        <w:right w:val="none" w:sz="0" w:space="0" w:color="auto"/>
      </w:divBdr>
      <w:divsChild>
        <w:div w:id="1064988291">
          <w:marLeft w:val="0"/>
          <w:marRight w:val="0"/>
          <w:marTop w:val="0"/>
          <w:marBottom w:val="0"/>
          <w:divBdr>
            <w:top w:val="none" w:sz="0" w:space="0" w:color="3D3D3D"/>
            <w:left w:val="none" w:sz="0" w:space="0" w:color="3D3D3D"/>
            <w:bottom w:val="none" w:sz="0" w:space="0" w:color="3D3D3D"/>
            <w:right w:val="none" w:sz="0" w:space="0" w:color="3D3D3D"/>
          </w:divBdr>
          <w:divsChild>
            <w:div w:id="17230902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74902869">
      <w:bodyDiv w:val="1"/>
      <w:marLeft w:val="0"/>
      <w:marRight w:val="0"/>
      <w:marTop w:val="0"/>
      <w:marBottom w:val="0"/>
      <w:divBdr>
        <w:top w:val="none" w:sz="0" w:space="0" w:color="auto"/>
        <w:left w:val="none" w:sz="0" w:space="0" w:color="auto"/>
        <w:bottom w:val="none" w:sz="0" w:space="0" w:color="auto"/>
        <w:right w:val="none" w:sz="0" w:space="0" w:color="auto"/>
      </w:divBdr>
      <w:divsChild>
        <w:div w:id="117918590">
          <w:marLeft w:val="0"/>
          <w:marRight w:val="0"/>
          <w:marTop w:val="0"/>
          <w:marBottom w:val="0"/>
          <w:divBdr>
            <w:top w:val="none" w:sz="0" w:space="0" w:color="3D3D3D"/>
            <w:left w:val="none" w:sz="0" w:space="0" w:color="3D3D3D"/>
            <w:bottom w:val="none" w:sz="0" w:space="0" w:color="3D3D3D"/>
            <w:right w:val="none" w:sz="0" w:space="0" w:color="3D3D3D"/>
          </w:divBdr>
          <w:divsChild>
            <w:div w:id="31746470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83731965">
      <w:bodyDiv w:val="1"/>
      <w:marLeft w:val="0"/>
      <w:marRight w:val="0"/>
      <w:marTop w:val="0"/>
      <w:marBottom w:val="0"/>
      <w:divBdr>
        <w:top w:val="none" w:sz="0" w:space="0" w:color="auto"/>
        <w:left w:val="none" w:sz="0" w:space="0" w:color="auto"/>
        <w:bottom w:val="none" w:sz="0" w:space="0" w:color="auto"/>
        <w:right w:val="none" w:sz="0" w:space="0" w:color="auto"/>
      </w:divBdr>
      <w:divsChild>
        <w:div w:id="400716380">
          <w:marLeft w:val="0"/>
          <w:marRight w:val="0"/>
          <w:marTop w:val="0"/>
          <w:marBottom w:val="0"/>
          <w:divBdr>
            <w:top w:val="none" w:sz="0" w:space="0" w:color="3D3D3D"/>
            <w:left w:val="none" w:sz="0" w:space="0" w:color="3D3D3D"/>
            <w:bottom w:val="none" w:sz="0" w:space="0" w:color="3D3D3D"/>
            <w:right w:val="none" w:sz="0" w:space="0" w:color="3D3D3D"/>
          </w:divBdr>
          <w:divsChild>
            <w:div w:id="5075199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88199092">
      <w:bodyDiv w:val="1"/>
      <w:marLeft w:val="0"/>
      <w:marRight w:val="0"/>
      <w:marTop w:val="0"/>
      <w:marBottom w:val="0"/>
      <w:divBdr>
        <w:top w:val="none" w:sz="0" w:space="0" w:color="auto"/>
        <w:left w:val="none" w:sz="0" w:space="0" w:color="auto"/>
        <w:bottom w:val="none" w:sz="0" w:space="0" w:color="auto"/>
        <w:right w:val="none" w:sz="0" w:space="0" w:color="auto"/>
      </w:divBdr>
      <w:divsChild>
        <w:div w:id="1252155424">
          <w:marLeft w:val="0"/>
          <w:marRight w:val="0"/>
          <w:marTop w:val="0"/>
          <w:marBottom w:val="0"/>
          <w:divBdr>
            <w:top w:val="none" w:sz="0" w:space="0" w:color="3D3D3D"/>
            <w:left w:val="none" w:sz="0" w:space="0" w:color="3D3D3D"/>
            <w:bottom w:val="none" w:sz="0" w:space="0" w:color="3D3D3D"/>
            <w:right w:val="none" w:sz="0" w:space="0" w:color="3D3D3D"/>
          </w:divBdr>
          <w:divsChild>
            <w:div w:id="17105717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03922497">
      <w:bodyDiv w:val="1"/>
      <w:marLeft w:val="0"/>
      <w:marRight w:val="0"/>
      <w:marTop w:val="0"/>
      <w:marBottom w:val="0"/>
      <w:divBdr>
        <w:top w:val="none" w:sz="0" w:space="0" w:color="auto"/>
        <w:left w:val="none" w:sz="0" w:space="0" w:color="auto"/>
        <w:bottom w:val="none" w:sz="0" w:space="0" w:color="auto"/>
        <w:right w:val="none" w:sz="0" w:space="0" w:color="auto"/>
      </w:divBdr>
      <w:divsChild>
        <w:div w:id="84546059">
          <w:marLeft w:val="0"/>
          <w:marRight w:val="0"/>
          <w:marTop w:val="0"/>
          <w:marBottom w:val="0"/>
          <w:divBdr>
            <w:top w:val="none" w:sz="0" w:space="0" w:color="3D3D3D"/>
            <w:left w:val="none" w:sz="0" w:space="0" w:color="3D3D3D"/>
            <w:bottom w:val="none" w:sz="0" w:space="0" w:color="3D3D3D"/>
            <w:right w:val="none" w:sz="0" w:space="0" w:color="3D3D3D"/>
          </w:divBdr>
          <w:divsChild>
            <w:div w:id="18674505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07974432">
      <w:bodyDiv w:val="1"/>
      <w:marLeft w:val="0"/>
      <w:marRight w:val="0"/>
      <w:marTop w:val="0"/>
      <w:marBottom w:val="0"/>
      <w:divBdr>
        <w:top w:val="none" w:sz="0" w:space="0" w:color="auto"/>
        <w:left w:val="none" w:sz="0" w:space="0" w:color="auto"/>
        <w:bottom w:val="none" w:sz="0" w:space="0" w:color="auto"/>
        <w:right w:val="none" w:sz="0" w:space="0" w:color="auto"/>
      </w:divBdr>
    </w:div>
    <w:div w:id="1309044527">
      <w:bodyDiv w:val="1"/>
      <w:marLeft w:val="0"/>
      <w:marRight w:val="0"/>
      <w:marTop w:val="0"/>
      <w:marBottom w:val="0"/>
      <w:divBdr>
        <w:top w:val="none" w:sz="0" w:space="0" w:color="auto"/>
        <w:left w:val="none" w:sz="0" w:space="0" w:color="auto"/>
        <w:bottom w:val="none" w:sz="0" w:space="0" w:color="auto"/>
        <w:right w:val="none" w:sz="0" w:space="0" w:color="auto"/>
      </w:divBdr>
      <w:divsChild>
        <w:div w:id="1692415165">
          <w:marLeft w:val="0"/>
          <w:marRight w:val="0"/>
          <w:marTop w:val="0"/>
          <w:marBottom w:val="0"/>
          <w:divBdr>
            <w:top w:val="none" w:sz="0" w:space="0" w:color="3D3D3D"/>
            <w:left w:val="none" w:sz="0" w:space="0" w:color="3D3D3D"/>
            <w:bottom w:val="none" w:sz="0" w:space="0" w:color="3D3D3D"/>
            <w:right w:val="none" w:sz="0" w:space="0" w:color="3D3D3D"/>
          </w:divBdr>
          <w:divsChild>
            <w:div w:id="164851012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2780078">
      <w:bodyDiv w:val="1"/>
      <w:marLeft w:val="0"/>
      <w:marRight w:val="0"/>
      <w:marTop w:val="0"/>
      <w:marBottom w:val="0"/>
      <w:divBdr>
        <w:top w:val="none" w:sz="0" w:space="0" w:color="auto"/>
        <w:left w:val="none" w:sz="0" w:space="0" w:color="auto"/>
        <w:bottom w:val="none" w:sz="0" w:space="0" w:color="auto"/>
        <w:right w:val="none" w:sz="0" w:space="0" w:color="auto"/>
      </w:divBdr>
      <w:divsChild>
        <w:div w:id="269434122">
          <w:marLeft w:val="0"/>
          <w:marRight w:val="0"/>
          <w:marTop w:val="0"/>
          <w:marBottom w:val="0"/>
          <w:divBdr>
            <w:top w:val="none" w:sz="0" w:space="0" w:color="3D3D3D"/>
            <w:left w:val="none" w:sz="0" w:space="0" w:color="3D3D3D"/>
            <w:bottom w:val="none" w:sz="0" w:space="0" w:color="3D3D3D"/>
            <w:right w:val="none" w:sz="0" w:space="0" w:color="3D3D3D"/>
          </w:divBdr>
          <w:divsChild>
            <w:div w:id="13975094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5740977">
      <w:bodyDiv w:val="1"/>
      <w:marLeft w:val="0"/>
      <w:marRight w:val="0"/>
      <w:marTop w:val="0"/>
      <w:marBottom w:val="0"/>
      <w:divBdr>
        <w:top w:val="none" w:sz="0" w:space="0" w:color="auto"/>
        <w:left w:val="none" w:sz="0" w:space="0" w:color="auto"/>
        <w:bottom w:val="none" w:sz="0" w:space="0" w:color="auto"/>
        <w:right w:val="none" w:sz="0" w:space="0" w:color="auto"/>
      </w:divBdr>
      <w:divsChild>
        <w:div w:id="1506900953">
          <w:marLeft w:val="0"/>
          <w:marRight w:val="0"/>
          <w:marTop w:val="0"/>
          <w:marBottom w:val="0"/>
          <w:divBdr>
            <w:top w:val="none" w:sz="0" w:space="0" w:color="3D3D3D"/>
            <w:left w:val="none" w:sz="0" w:space="0" w:color="3D3D3D"/>
            <w:bottom w:val="none" w:sz="0" w:space="0" w:color="3D3D3D"/>
            <w:right w:val="none" w:sz="0" w:space="0" w:color="3D3D3D"/>
          </w:divBdr>
          <w:divsChild>
            <w:div w:id="12775229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30328651">
      <w:bodyDiv w:val="1"/>
      <w:marLeft w:val="0"/>
      <w:marRight w:val="0"/>
      <w:marTop w:val="0"/>
      <w:marBottom w:val="0"/>
      <w:divBdr>
        <w:top w:val="none" w:sz="0" w:space="0" w:color="auto"/>
        <w:left w:val="none" w:sz="0" w:space="0" w:color="auto"/>
        <w:bottom w:val="none" w:sz="0" w:space="0" w:color="auto"/>
        <w:right w:val="none" w:sz="0" w:space="0" w:color="auto"/>
      </w:divBdr>
      <w:divsChild>
        <w:div w:id="1386028076">
          <w:marLeft w:val="0"/>
          <w:marRight w:val="0"/>
          <w:marTop w:val="0"/>
          <w:marBottom w:val="0"/>
          <w:divBdr>
            <w:top w:val="none" w:sz="0" w:space="0" w:color="3D3D3D"/>
            <w:left w:val="none" w:sz="0" w:space="0" w:color="3D3D3D"/>
            <w:bottom w:val="none" w:sz="0" w:space="0" w:color="3D3D3D"/>
            <w:right w:val="none" w:sz="0" w:space="0" w:color="3D3D3D"/>
          </w:divBdr>
          <w:divsChild>
            <w:div w:id="67380364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48562932">
      <w:bodyDiv w:val="1"/>
      <w:marLeft w:val="0"/>
      <w:marRight w:val="0"/>
      <w:marTop w:val="0"/>
      <w:marBottom w:val="0"/>
      <w:divBdr>
        <w:top w:val="none" w:sz="0" w:space="0" w:color="auto"/>
        <w:left w:val="none" w:sz="0" w:space="0" w:color="auto"/>
        <w:bottom w:val="none" w:sz="0" w:space="0" w:color="auto"/>
        <w:right w:val="none" w:sz="0" w:space="0" w:color="auto"/>
      </w:divBdr>
      <w:divsChild>
        <w:div w:id="1131248133">
          <w:marLeft w:val="0"/>
          <w:marRight w:val="0"/>
          <w:marTop w:val="0"/>
          <w:marBottom w:val="0"/>
          <w:divBdr>
            <w:top w:val="none" w:sz="0" w:space="0" w:color="3D3D3D"/>
            <w:left w:val="none" w:sz="0" w:space="0" w:color="3D3D3D"/>
            <w:bottom w:val="none" w:sz="0" w:space="0" w:color="3D3D3D"/>
            <w:right w:val="none" w:sz="0" w:space="0" w:color="3D3D3D"/>
          </w:divBdr>
          <w:divsChild>
            <w:div w:id="1241266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65979390">
      <w:bodyDiv w:val="1"/>
      <w:marLeft w:val="0"/>
      <w:marRight w:val="0"/>
      <w:marTop w:val="0"/>
      <w:marBottom w:val="0"/>
      <w:divBdr>
        <w:top w:val="none" w:sz="0" w:space="0" w:color="auto"/>
        <w:left w:val="none" w:sz="0" w:space="0" w:color="auto"/>
        <w:bottom w:val="none" w:sz="0" w:space="0" w:color="auto"/>
        <w:right w:val="none" w:sz="0" w:space="0" w:color="auto"/>
      </w:divBdr>
    </w:div>
    <w:div w:id="1372807809">
      <w:bodyDiv w:val="1"/>
      <w:marLeft w:val="0"/>
      <w:marRight w:val="0"/>
      <w:marTop w:val="0"/>
      <w:marBottom w:val="0"/>
      <w:divBdr>
        <w:top w:val="none" w:sz="0" w:space="0" w:color="auto"/>
        <w:left w:val="none" w:sz="0" w:space="0" w:color="auto"/>
        <w:bottom w:val="none" w:sz="0" w:space="0" w:color="auto"/>
        <w:right w:val="none" w:sz="0" w:space="0" w:color="auto"/>
      </w:divBdr>
      <w:divsChild>
        <w:div w:id="142821917">
          <w:marLeft w:val="0"/>
          <w:marRight w:val="0"/>
          <w:marTop w:val="0"/>
          <w:marBottom w:val="0"/>
          <w:divBdr>
            <w:top w:val="none" w:sz="0" w:space="0" w:color="3D3D3D"/>
            <w:left w:val="none" w:sz="0" w:space="0" w:color="3D3D3D"/>
            <w:bottom w:val="none" w:sz="0" w:space="0" w:color="3D3D3D"/>
            <w:right w:val="none" w:sz="0" w:space="0" w:color="3D3D3D"/>
          </w:divBdr>
          <w:divsChild>
            <w:div w:id="1856031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73455352">
      <w:bodyDiv w:val="1"/>
      <w:marLeft w:val="0"/>
      <w:marRight w:val="0"/>
      <w:marTop w:val="0"/>
      <w:marBottom w:val="0"/>
      <w:divBdr>
        <w:top w:val="none" w:sz="0" w:space="0" w:color="auto"/>
        <w:left w:val="none" w:sz="0" w:space="0" w:color="auto"/>
        <w:bottom w:val="none" w:sz="0" w:space="0" w:color="auto"/>
        <w:right w:val="none" w:sz="0" w:space="0" w:color="auto"/>
      </w:divBdr>
    </w:div>
    <w:div w:id="1377924589">
      <w:bodyDiv w:val="1"/>
      <w:marLeft w:val="0"/>
      <w:marRight w:val="0"/>
      <w:marTop w:val="0"/>
      <w:marBottom w:val="0"/>
      <w:divBdr>
        <w:top w:val="none" w:sz="0" w:space="0" w:color="auto"/>
        <w:left w:val="none" w:sz="0" w:space="0" w:color="auto"/>
        <w:bottom w:val="none" w:sz="0" w:space="0" w:color="auto"/>
        <w:right w:val="none" w:sz="0" w:space="0" w:color="auto"/>
      </w:divBdr>
      <w:divsChild>
        <w:div w:id="1087844537">
          <w:marLeft w:val="0"/>
          <w:marRight w:val="0"/>
          <w:marTop w:val="0"/>
          <w:marBottom w:val="0"/>
          <w:divBdr>
            <w:top w:val="none" w:sz="0" w:space="0" w:color="3D3D3D"/>
            <w:left w:val="none" w:sz="0" w:space="0" w:color="3D3D3D"/>
            <w:bottom w:val="none" w:sz="0" w:space="0" w:color="3D3D3D"/>
            <w:right w:val="none" w:sz="0" w:space="0" w:color="3D3D3D"/>
          </w:divBdr>
          <w:divsChild>
            <w:div w:id="9643140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87023498">
      <w:bodyDiv w:val="1"/>
      <w:marLeft w:val="0"/>
      <w:marRight w:val="0"/>
      <w:marTop w:val="0"/>
      <w:marBottom w:val="0"/>
      <w:divBdr>
        <w:top w:val="none" w:sz="0" w:space="0" w:color="auto"/>
        <w:left w:val="none" w:sz="0" w:space="0" w:color="auto"/>
        <w:bottom w:val="none" w:sz="0" w:space="0" w:color="auto"/>
        <w:right w:val="none" w:sz="0" w:space="0" w:color="auto"/>
      </w:divBdr>
      <w:divsChild>
        <w:div w:id="393629307">
          <w:marLeft w:val="0"/>
          <w:marRight w:val="0"/>
          <w:marTop w:val="0"/>
          <w:marBottom w:val="0"/>
          <w:divBdr>
            <w:top w:val="none" w:sz="0" w:space="0" w:color="3D3D3D"/>
            <w:left w:val="none" w:sz="0" w:space="0" w:color="3D3D3D"/>
            <w:bottom w:val="none" w:sz="0" w:space="0" w:color="3D3D3D"/>
            <w:right w:val="none" w:sz="0" w:space="0" w:color="3D3D3D"/>
          </w:divBdr>
          <w:divsChild>
            <w:div w:id="11729175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0221335">
      <w:bodyDiv w:val="1"/>
      <w:marLeft w:val="0"/>
      <w:marRight w:val="0"/>
      <w:marTop w:val="0"/>
      <w:marBottom w:val="0"/>
      <w:divBdr>
        <w:top w:val="none" w:sz="0" w:space="0" w:color="auto"/>
        <w:left w:val="none" w:sz="0" w:space="0" w:color="auto"/>
        <w:bottom w:val="none" w:sz="0" w:space="0" w:color="auto"/>
        <w:right w:val="none" w:sz="0" w:space="0" w:color="auto"/>
      </w:divBdr>
      <w:divsChild>
        <w:div w:id="717895209">
          <w:marLeft w:val="0"/>
          <w:marRight w:val="0"/>
          <w:marTop w:val="0"/>
          <w:marBottom w:val="0"/>
          <w:divBdr>
            <w:top w:val="none" w:sz="0" w:space="0" w:color="3D3D3D"/>
            <w:left w:val="none" w:sz="0" w:space="0" w:color="3D3D3D"/>
            <w:bottom w:val="none" w:sz="0" w:space="0" w:color="3D3D3D"/>
            <w:right w:val="none" w:sz="0" w:space="0" w:color="3D3D3D"/>
          </w:divBdr>
          <w:divsChild>
            <w:div w:id="12180084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9811117">
      <w:bodyDiv w:val="1"/>
      <w:marLeft w:val="0"/>
      <w:marRight w:val="0"/>
      <w:marTop w:val="0"/>
      <w:marBottom w:val="0"/>
      <w:divBdr>
        <w:top w:val="none" w:sz="0" w:space="0" w:color="auto"/>
        <w:left w:val="none" w:sz="0" w:space="0" w:color="auto"/>
        <w:bottom w:val="none" w:sz="0" w:space="0" w:color="auto"/>
        <w:right w:val="none" w:sz="0" w:space="0" w:color="auto"/>
      </w:divBdr>
      <w:divsChild>
        <w:div w:id="969047571">
          <w:marLeft w:val="0"/>
          <w:marRight w:val="0"/>
          <w:marTop w:val="0"/>
          <w:marBottom w:val="0"/>
          <w:divBdr>
            <w:top w:val="none" w:sz="0" w:space="0" w:color="3D3D3D"/>
            <w:left w:val="none" w:sz="0" w:space="0" w:color="3D3D3D"/>
            <w:bottom w:val="none" w:sz="0" w:space="0" w:color="3D3D3D"/>
            <w:right w:val="none" w:sz="0" w:space="0" w:color="3D3D3D"/>
          </w:divBdr>
          <w:divsChild>
            <w:div w:id="10043598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489058782">
      <w:bodyDiv w:val="1"/>
      <w:marLeft w:val="0"/>
      <w:marRight w:val="0"/>
      <w:marTop w:val="0"/>
      <w:marBottom w:val="0"/>
      <w:divBdr>
        <w:top w:val="none" w:sz="0" w:space="0" w:color="auto"/>
        <w:left w:val="none" w:sz="0" w:space="0" w:color="auto"/>
        <w:bottom w:val="none" w:sz="0" w:space="0" w:color="auto"/>
        <w:right w:val="none" w:sz="0" w:space="0" w:color="auto"/>
      </w:divBdr>
      <w:divsChild>
        <w:div w:id="1612471935">
          <w:marLeft w:val="0"/>
          <w:marRight w:val="0"/>
          <w:marTop w:val="0"/>
          <w:marBottom w:val="0"/>
          <w:divBdr>
            <w:top w:val="none" w:sz="0" w:space="0" w:color="3D3D3D"/>
            <w:left w:val="none" w:sz="0" w:space="0" w:color="3D3D3D"/>
            <w:bottom w:val="none" w:sz="0" w:space="0" w:color="3D3D3D"/>
            <w:right w:val="none" w:sz="0" w:space="0" w:color="3D3D3D"/>
          </w:divBdr>
          <w:divsChild>
            <w:div w:id="10065213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01431746">
      <w:bodyDiv w:val="1"/>
      <w:marLeft w:val="0"/>
      <w:marRight w:val="0"/>
      <w:marTop w:val="0"/>
      <w:marBottom w:val="0"/>
      <w:divBdr>
        <w:top w:val="none" w:sz="0" w:space="0" w:color="auto"/>
        <w:left w:val="none" w:sz="0" w:space="0" w:color="auto"/>
        <w:bottom w:val="none" w:sz="0" w:space="0" w:color="auto"/>
        <w:right w:val="none" w:sz="0" w:space="0" w:color="auto"/>
      </w:divBdr>
      <w:divsChild>
        <w:div w:id="1510752556">
          <w:marLeft w:val="0"/>
          <w:marRight w:val="0"/>
          <w:marTop w:val="0"/>
          <w:marBottom w:val="0"/>
          <w:divBdr>
            <w:top w:val="none" w:sz="0" w:space="0" w:color="3D3D3D"/>
            <w:left w:val="none" w:sz="0" w:space="0" w:color="3D3D3D"/>
            <w:bottom w:val="none" w:sz="0" w:space="0" w:color="3D3D3D"/>
            <w:right w:val="none" w:sz="0" w:space="0" w:color="3D3D3D"/>
          </w:divBdr>
          <w:divsChild>
            <w:div w:id="14869000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15072286">
      <w:bodyDiv w:val="1"/>
      <w:marLeft w:val="0"/>
      <w:marRight w:val="0"/>
      <w:marTop w:val="0"/>
      <w:marBottom w:val="0"/>
      <w:divBdr>
        <w:top w:val="none" w:sz="0" w:space="0" w:color="auto"/>
        <w:left w:val="none" w:sz="0" w:space="0" w:color="auto"/>
        <w:bottom w:val="none" w:sz="0" w:space="0" w:color="auto"/>
        <w:right w:val="none" w:sz="0" w:space="0" w:color="auto"/>
      </w:divBdr>
      <w:divsChild>
        <w:div w:id="1465003584">
          <w:marLeft w:val="0"/>
          <w:marRight w:val="0"/>
          <w:marTop w:val="0"/>
          <w:marBottom w:val="0"/>
          <w:divBdr>
            <w:top w:val="none" w:sz="0" w:space="0" w:color="3D3D3D"/>
            <w:left w:val="none" w:sz="0" w:space="0" w:color="3D3D3D"/>
            <w:bottom w:val="none" w:sz="0" w:space="0" w:color="3D3D3D"/>
            <w:right w:val="none" w:sz="0" w:space="0" w:color="3D3D3D"/>
          </w:divBdr>
          <w:divsChild>
            <w:div w:id="10866558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43708410">
      <w:bodyDiv w:val="1"/>
      <w:marLeft w:val="0"/>
      <w:marRight w:val="0"/>
      <w:marTop w:val="0"/>
      <w:marBottom w:val="0"/>
      <w:divBdr>
        <w:top w:val="none" w:sz="0" w:space="0" w:color="auto"/>
        <w:left w:val="none" w:sz="0" w:space="0" w:color="auto"/>
        <w:bottom w:val="none" w:sz="0" w:space="0" w:color="auto"/>
        <w:right w:val="none" w:sz="0" w:space="0" w:color="auto"/>
      </w:divBdr>
    </w:div>
    <w:div w:id="1574048335">
      <w:bodyDiv w:val="1"/>
      <w:marLeft w:val="0"/>
      <w:marRight w:val="0"/>
      <w:marTop w:val="0"/>
      <w:marBottom w:val="0"/>
      <w:divBdr>
        <w:top w:val="none" w:sz="0" w:space="0" w:color="auto"/>
        <w:left w:val="none" w:sz="0" w:space="0" w:color="auto"/>
        <w:bottom w:val="none" w:sz="0" w:space="0" w:color="auto"/>
        <w:right w:val="none" w:sz="0" w:space="0" w:color="auto"/>
      </w:divBdr>
      <w:divsChild>
        <w:div w:id="975138739">
          <w:marLeft w:val="0"/>
          <w:marRight w:val="0"/>
          <w:marTop w:val="0"/>
          <w:marBottom w:val="0"/>
          <w:divBdr>
            <w:top w:val="none" w:sz="0" w:space="0" w:color="3D3D3D"/>
            <w:left w:val="none" w:sz="0" w:space="0" w:color="3D3D3D"/>
            <w:bottom w:val="none" w:sz="0" w:space="0" w:color="3D3D3D"/>
            <w:right w:val="none" w:sz="0" w:space="0" w:color="3D3D3D"/>
          </w:divBdr>
          <w:divsChild>
            <w:div w:id="12459144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91809569">
      <w:bodyDiv w:val="1"/>
      <w:marLeft w:val="0"/>
      <w:marRight w:val="0"/>
      <w:marTop w:val="0"/>
      <w:marBottom w:val="0"/>
      <w:divBdr>
        <w:top w:val="none" w:sz="0" w:space="0" w:color="auto"/>
        <w:left w:val="none" w:sz="0" w:space="0" w:color="auto"/>
        <w:bottom w:val="none" w:sz="0" w:space="0" w:color="auto"/>
        <w:right w:val="none" w:sz="0" w:space="0" w:color="auto"/>
      </w:divBdr>
      <w:divsChild>
        <w:div w:id="281309104">
          <w:marLeft w:val="0"/>
          <w:marRight w:val="0"/>
          <w:marTop w:val="0"/>
          <w:marBottom w:val="0"/>
          <w:divBdr>
            <w:top w:val="none" w:sz="0" w:space="0" w:color="3D3D3D"/>
            <w:left w:val="none" w:sz="0" w:space="0" w:color="3D3D3D"/>
            <w:bottom w:val="none" w:sz="0" w:space="0" w:color="3D3D3D"/>
            <w:right w:val="none" w:sz="0" w:space="0" w:color="3D3D3D"/>
          </w:divBdr>
          <w:divsChild>
            <w:div w:id="20029241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95936524">
      <w:bodyDiv w:val="1"/>
      <w:marLeft w:val="0"/>
      <w:marRight w:val="0"/>
      <w:marTop w:val="0"/>
      <w:marBottom w:val="0"/>
      <w:divBdr>
        <w:top w:val="none" w:sz="0" w:space="0" w:color="auto"/>
        <w:left w:val="none" w:sz="0" w:space="0" w:color="auto"/>
        <w:bottom w:val="none" w:sz="0" w:space="0" w:color="auto"/>
        <w:right w:val="none" w:sz="0" w:space="0" w:color="auto"/>
      </w:divBdr>
      <w:divsChild>
        <w:div w:id="262610885">
          <w:marLeft w:val="0"/>
          <w:marRight w:val="0"/>
          <w:marTop w:val="0"/>
          <w:marBottom w:val="0"/>
          <w:divBdr>
            <w:top w:val="none" w:sz="0" w:space="0" w:color="3D3D3D"/>
            <w:left w:val="none" w:sz="0" w:space="0" w:color="3D3D3D"/>
            <w:bottom w:val="none" w:sz="0" w:space="0" w:color="3D3D3D"/>
            <w:right w:val="none" w:sz="0" w:space="0" w:color="3D3D3D"/>
          </w:divBdr>
          <w:divsChild>
            <w:div w:id="156171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96204055">
      <w:bodyDiv w:val="1"/>
      <w:marLeft w:val="0"/>
      <w:marRight w:val="0"/>
      <w:marTop w:val="0"/>
      <w:marBottom w:val="0"/>
      <w:divBdr>
        <w:top w:val="none" w:sz="0" w:space="0" w:color="auto"/>
        <w:left w:val="none" w:sz="0" w:space="0" w:color="auto"/>
        <w:bottom w:val="none" w:sz="0" w:space="0" w:color="auto"/>
        <w:right w:val="none" w:sz="0" w:space="0" w:color="auto"/>
      </w:divBdr>
    </w:div>
    <w:div w:id="1615864791">
      <w:bodyDiv w:val="1"/>
      <w:marLeft w:val="0"/>
      <w:marRight w:val="0"/>
      <w:marTop w:val="0"/>
      <w:marBottom w:val="0"/>
      <w:divBdr>
        <w:top w:val="none" w:sz="0" w:space="0" w:color="auto"/>
        <w:left w:val="none" w:sz="0" w:space="0" w:color="auto"/>
        <w:bottom w:val="none" w:sz="0" w:space="0" w:color="auto"/>
        <w:right w:val="none" w:sz="0" w:space="0" w:color="auto"/>
      </w:divBdr>
      <w:divsChild>
        <w:div w:id="1392119685">
          <w:marLeft w:val="0"/>
          <w:marRight w:val="0"/>
          <w:marTop w:val="0"/>
          <w:marBottom w:val="0"/>
          <w:divBdr>
            <w:top w:val="none" w:sz="0" w:space="0" w:color="3D3D3D"/>
            <w:left w:val="none" w:sz="0" w:space="0" w:color="3D3D3D"/>
            <w:bottom w:val="none" w:sz="0" w:space="0" w:color="3D3D3D"/>
            <w:right w:val="none" w:sz="0" w:space="0" w:color="3D3D3D"/>
          </w:divBdr>
          <w:divsChild>
            <w:div w:id="12784139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60570781">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 w:id="1664384484">
      <w:bodyDiv w:val="1"/>
      <w:marLeft w:val="0"/>
      <w:marRight w:val="0"/>
      <w:marTop w:val="0"/>
      <w:marBottom w:val="0"/>
      <w:divBdr>
        <w:top w:val="none" w:sz="0" w:space="0" w:color="auto"/>
        <w:left w:val="none" w:sz="0" w:space="0" w:color="auto"/>
        <w:bottom w:val="none" w:sz="0" w:space="0" w:color="auto"/>
        <w:right w:val="none" w:sz="0" w:space="0" w:color="auto"/>
      </w:divBdr>
      <w:divsChild>
        <w:div w:id="1864241389">
          <w:marLeft w:val="0"/>
          <w:marRight w:val="0"/>
          <w:marTop w:val="0"/>
          <w:marBottom w:val="0"/>
          <w:divBdr>
            <w:top w:val="none" w:sz="0" w:space="0" w:color="3D3D3D"/>
            <w:left w:val="none" w:sz="0" w:space="0" w:color="3D3D3D"/>
            <w:bottom w:val="none" w:sz="0" w:space="0" w:color="3D3D3D"/>
            <w:right w:val="none" w:sz="0" w:space="0" w:color="3D3D3D"/>
          </w:divBdr>
          <w:divsChild>
            <w:div w:id="17170495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81353894">
      <w:bodyDiv w:val="1"/>
      <w:marLeft w:val="0"/>
      <w:marRight w:val="0"/>
      <w:marTop w:val="0"/>
      <w:marBottom w:val="0"/>
      <w:divBdr>
        <w:top w:val="none" w:sz="0" w:space="0" w:color="auto"/>
        <w:left w:val="none" w:sz="0" w:space="0" w:color="auto"/>
        <w:bottom w:val="none" w:sz="0" w:space="0" w:color="auto"/>
        <w:right w:val="none" w:sz="0" w:space="0" w:color="auto"/>
      </w:divBdr>
      <w:divsChild>
        <w:div w:id="1022782361">
          <w:marLeft w:val="0"/>
          <w:marRight w:val="0"/>
          <w:marTop w:val="0"/>
          <w:marBottom w:val="0"/>
          <w:divBdr>
            <w:top w:val="none" w:sz="0" w:space="0" w:color="3D3D3D"/>
            <w:left w:val="none" w:sz="0" w:space="0" w:color="3D3D3D"/>
            <w:bottom w:val="none" w:sz="0" w:space="0" w:color="3D3D3D"/>
            <w:right w:val="none" w:sz="0" w:space="0" w:color="3D3D3D"/>
          </w:divBdr>
          <w:divsChild>
            <w:div w:id="6083902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8627717">
      <w:bodyDiv w:val="1"/>
      <w:marLeft w:val="0"/>
      <w:marRight w:val="0"/>
      <w:marTop w:val="0"/>
      <w:marBottom w:val="0"/>
      <w:divBdr>
        <w:top w:val="none" w:sz="0" w:space="0" w:color="auto"/>
        <w:left w:val="none" w:sz="0" w:space="0" w:color="auto"/>
        <w:bottom w:val="none" w:sz="0" w:space="0" w:color="auto"/>
        <w:right w:val="none" w:sz="0" w:space="0" w:color="auto"/>
      </w:divBdr>
    </w:div>
    <w:div w:id="1701471850">
      <w:bodyDiv w:val="1"/>
      <w:marLeft w:val="0"/>
      <w:marRight w:val="0"/>
      <w:marTop w:val="0"/>
      <w:marBottom w:val="0"/>
      <w:divBdr>
        <w:top w:val="none" w:sz="0" w:space="0" w:color="auto"/>
        <w:left w:val="none" w:sz="0" w:space="0" w:color="auto"/>
        <w:bottom w:val="none" w:sz="0" w:space="0" w:color="auto"/>
        <w:right w:val="none" w:sz="0" w:space="0" w:color="auto"/>
      </w:divBdr>
      <w:divsChild>
        <w:div w:id="1693723477">
          <w:marLeft w:val="0"/>
          <w:marRight w:val="0"/>
          <w:marTop w:val="0"/>
          <w:marBottom w:val="0"/>
          <w:divBdr>
            <w:top w:val="none" w:sz="0" w:space="0" w:color="3D3D3D"/>
            <w:left w:val="none" w:sz="0" w:space="0" w:color="3D3D3D"/>
            <w:bottom w:val="none" w:sz="0" w:space="0" w:color="3D3D3D"/>
            <w:right w:val="none" w:sz="0" w:space="0" w:color="3D3D3D"/>
          </w:divBdr>
          <w:divsChild>
            <w:div w:id="140845464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59405594">
      <w:bodyDiv w:val="1"/>
      <w:marLeft w:val="0"/>
      <w:marRight w:val="0"/>
      <w:marTop w:val="0"/>
      <w:marBottom w:val="0"/>
      <w:divBdr>
        <w:top w:val="none" w:sz="0" w:space="0" w:color="auto"/>
        <w:left w:val="none" w:sz="0" w:space="0" w:color="auto"/>
        <w:bottom w:val="none" w:sz="0" w:space="0" w:color="auto"/>
        <w:right w:val="none" w:sz="0" w:space="0" w:color="auto"/>
      </w:divBdr>
      <w:divsChild>
        <w:div w:id="461924589">
          <w:marLeft w:val="0"/>
          <w:marRight w:val="0"/>
          <w:marTop w:val="0"/>
          <w:marBottom w:val="0"/>
          <w:divBdr>
            <w:top w:val="none" w:sz="0" w:space="0" w:color="3D3D3D"/>
            <w:left w:val="none" w:sz="0" w:space="0" w:color="3D3D3D"/>
            <w:bottom w:val="none" w:sz="0" w:space="0" w:color="3D3D3D"/>
            <w:right w:val="none" w:sz="0" w:space="0" w:color="3D3D3D"/>
          </w:divBdr>
          <w:divsChild>
            <w:div w:id="3631001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62531450">
      <w:bodyDiv w:val="1"/>
      <w:marLeft w:val="0"/>
      <w:marRight w:val="0"/>
      <w:marTop w:val="0"/>
      <w:marBottom w:val="0"/>
      <w:divBdr>
        <w:top w:val="none" w:sz="0" w:space="0" w:color="auto"/>
        <w:left w:val="none" w:sz="0" w:space="0" w:color="auto"/>
        <w:bottom w:val="none" w:sz="0" w:space="0" w:color="auto"/>
        <w:right w:val="none" w:sz="0" w:space="0" w:color="auto"/>
      </w:divBdr>
      <w:divsChild>
        <w:div w:id="1829249473">
          <w:marLeft w:val="0"/>
          <w:marRight w:val="0"/>
          <w:marTop w:val="0"/>
          <w:marBottom w:val="0"/>
          <w:divBdr>
            <w:top w:val="none" w:sz="0" w:space="0" w:color="3D3D3D"/>
            <w:left w:val="none" w:sz="0" w:space="0" w:color="3D3D3D"/>
            <w:bottom w:val="none" w:sz="0" w:space="0" w:color="3D3D3D"/>
            <w:right w:val="none" w:sz="0" w:space="0" w:color="3D3D3D"/>
          </w:divBdr>
          <w:divsChild>
            <w:div w:id="10345769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70352559">
      <w:bodyDiv w:val="1"/>
      <w:marLeft w:val="0"/>
      <w:marRight w:val="0"/>
      <w:marTop w:val="0"/>
      <w:marBottom w:val="0"/>
      <w:divBdr>
        <w:top w:val="none" w:sz="0" w:space="0" w:color="auto"/>
        <w:left w:val="none" w:sz="0" w:space="0" w:color="auto"/>
        <w:bottom w:val="none" w:sz="0" w:space="0" w:color="auto"/>
        <w:right w:val="none" w:sz="0" w:space="0" w:color="auto"/>
      </w:divBdr>
      <w:divsChild>
        <w:div w:id="491067493">
          <w:marLeft w:val="0"/>
          <w:marRight w:val="0"/>
          <w:marTop w:val="0"/>
          <w:marBottom w:val="0"/>
          <w:divBdr>
            <w:top w:val="none" w:sz="0" w:space="0" w:color="3D3D3D"/>
            <w:left w:val="none" w:sz="0" w:space="0" w:color="3D3D3D"/>
            <w:bottom w:val="none" w:sz="0" w:space="0" w:color="3D3D3D"/>
            <w:right w:val="none" w:sz="0" w:space="0" w:color="3D3D3D"/>
          </w:divBdr>
          <w:divsChild>
            <w:div w:id="9840448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81878494">
      <w:bodyDiv w:val="1"/>
      <w:marLeft w:val="0"/>
      <w:marRight w:val="0"/>
      <w:marTop w:val="0"/>
      <w:marBottom w:val="0"/>
      <w:divBdr>
        <w:top w:val="none" w:sz="0" w:space="0" w:color="auto"/>
        <w:left w:val="none" w:sz="0" w:space="0" w:color="auto"/>
        <w:bottom w:val="none" w:sz="0" w:space="0" w:color="auto"/>
        <w:right w:val="none" w:sz="0" w:space="0" w:color="auto"/>
      </w:divBdr>
    </w:div>
    <w:div w:id="1806853314">
      <w:bodyDiv w:val="1"/>
      <w:marLeft w:val="0"/>
      <w:marRight w:val="0"/>
      <w:marTop w:val="0"/>
      <w:marBottom w:val="0"/>
      <w:divBdr>
        <w:top w:val="none" w:sz="0" w:space="0" w:color="auto"/>
        <w:left w:val="none" w:sz="0" w:space="0" w:color="auto"/>
        <w:bottom w:val="none" w:sz="0" w:space="0" w:color="auto"/>
        <w:right w:val="none" w:sz="0" w:space="0" w:color="auto"/>
      </w:divBdr>
      <w:divsChild>
        <w:div w:id="223641301">
          <w:marLeft w:val="0"/>
          <w:marRight w:val="0"/>
          <w:marTop w:val="0"/>
          <w:marBottom w:val="0"/>
          <w:divBdr>
            <w:top w:val="none" w:sz="0" w:space="0" w:color="3D3D3D"/>
            <w:left w:val="none" w:sz="0" w:space="0" w:color="3D3D3D"/>
            <w:bottom w:val="none" w:sz="0" w:space="0" w:color="3D3D3D"/>
            <w:right w:val="none" w:sz="0" w:space="0" w:color="3D3D3D"/>
          </w:divBdr>
          <w:divsChild>
            <w:div w:id="19495814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15834793">
      <w:bodyDiv w:val="1"/>
      <w:marLeft w:val="0"/>
      <w:marRight w:val="0"/>
      <w:marTop w:val="0"/>
      <w:marBottom w:val="0"/>
      <w:divBdr>
        <w:top w:val="none" w:sz="0" w:space="0" w:color="auto"/>
        <w:left w:val="none" w:sz="0" w:space="0" w:color="auto"/>
        <w:bottom w:val="none" w:sz="0" w:space="0" w:color="auto"/>
        <w:right w:val="none" w:sz="0" w:space="0" w:color="auto"/>
      </w:divBdr>
      <w:divsChild>
        <w:div w:id="222372275">
          <w:marLeft w:val="0"/>
          <w:marRight w:val="0"/>
          <w:marTop w:val="0"/>
          <w:marBottom w:val="0"/>
          <w:divBdr>
            <w:top w:val="none" w:sz="0" w:space="0" w:color="3D3D3D"/>
            <w:left w:val="none" w:sz="0" w:space="0" w:color="3D3D3D"/>
            <w:bottom w:val="none" w:sz="0" w:space="0" w:color="3D3D3D"/>
            <w:right w:val="none" w:sz="0" w:space="0" w:color="3D3D3D"/>
          </w:divBdr>
          <w:divsChild>
            <w:div w:id="18970813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34223661">
      <w:bodyDiv w:val="1"/>
      <w:marLeft w:val="0"/>
      <w:marRight w:val="0"/>
      <w:marTop w:val="0"/>
      <w:marBottom w:val="0"/>
      <w:divBdr>
        <w:top w:val="none" w:sz="0" w:space="0" w:color="auto"/>
        <w:left w:val="none" w:sz="0" w:space="0" w:color="auto"/>
        <w:bottom w:val="none" w:sz="0" w:space="0" w:color="auto"/>
        <w:right w:val="none" w:sz="0" w:space="0" w:color="auto"/>
      </w:divBdr>
    </w:div>
    <w:div w:id="1854806790">
      <w:bodyDiv w:val="1"/>
      <w:marLeft w:val="0"/>
      <w:marRight w:val="0"/>
      <w:marTop w:val="0"/>
      <w:marBottom w:val="0"/>
      <w:divBdr>
        <w:top w:val="none" w:sz="0" w:space="0" w:color="auto"/>
        <w:left w:val="none" w:sz="0" w:space="0" w:color="auto"/>
        <w:bottom w:val="none" w:sz="0" w:space="0" w:color="auto"/>
        <w:right w:val="none" w:sz="0" w:space="0" w:color="auto"/>
      </w:divBdr>
      <w:divsChild>
        <w:div w:id="1796606566">
          <w:marLeft w:val="0"/>
          <w:marRight w:val="0"/>
          <w:marTop w:val="0"/>
          <w:marBottom w:val="0"/>
          <w:divBdr>
            <w:top w:val="none" w:sz="0" w:space="0" w:color="3D3D3D"/>
            <w:left w:val="none" w:sz="0" w:space="0" w:color="3D3D3D"/>
            <w:bottom w:val="none" w:sz="0" w:space="0" w:color="3D3D3D"/>
            <w:right w:val="none" w:sz="0" w:space="0" w:color="3D3D3D"/>
          </w:divBdr>
          <w:divsChild>
            <w:div w:id="13319795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59155036">
      <w:bodyDiv w:val="1"/>
      <w:marLeft w:val="0"/>
      <w:marRight w:val="0"/>
      <w:marTop w:val="0"/>
      <w:marBottom w:val="0"/>
      <w:divBdr>
        <w:top w:val="none" w:sz="0" w:space="0" w:color="auto"/>
        <w:left w:val="none" w:sz="0" w:space="0" w:color="auto"/>
        <w:bottom w:val="none" w:sz="0" w:space="0" w:color="auto"/>
        <w:right w:val="none" w:sz="0" w:space="0" w:color="auto"/>
      </w:divBdr>
      <w:divsChild>
        <w:div w:id="1665664196">
          <w:marLeft w:val="0"/>
          <w:marRight w:val="0"/>
          <w:marTop w:val="0"/>
          <w:marBottom w:val="0"/>
          <w:divBdr>
            <w:top w:val="none" w:sz="0" w:space="0" w:color="3D3D3D"/>
            <w:left w:val="none" w:sz="0" w:space="0" w:color="3D3D3D"/>
            <w:bottom w:val="none" w:sz="0" w:space="0" w:color="3D3D3D"/>
            <w:right w:val="none" w:sz="0" w:space="0" w:color="3D3D3D"/>
          </w:divBdr>
          <w:divsChild>
            <w:div w:id="11411944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59855042">
      <w:bodyDiv w:val="1"/>
      <w:marLeft w:val="0"/>
      <w:marRight w:val="0"/>
      <w:marTop w:val="0"/>
      <w:marBottom w:val="0"/>
      <w:divBdr>
        <w:top w:val="none" w:sz="0" w:space="0" w:color="auto"/>
        <w:left w:val="none" w:sz="0" w:space="0" w:color="auto"/>
        <w:bottom w:val="none" w:sz="0" w:space="0" w:color="auto"/>
        <w:right w:val="none" w:sz="0" w:space="0" w:color="auto"/>
      </w:divBdr>
      <w:divsChild>
        <w:div w:id="2058384725">
          <w:marLeft w:val="0"/>
          <w:marRight w:val="0"/>
          <w:marTop w:val="0"/>
          <w:marBottom w:val="0"/>
          <w:divBdr>
            <w:top w:val="none" w:sz="0" w:space="0" w:color="3D3D3D"/>
            <w:left w:val="none" w:sz="0" w:space="0" w:color="3D3D3D"/>
            <w:bottom w:val="none" w:sz="0" w:space="0" w:color="3D3D3D"/>
            <w:right w:val="none" w:sz="0" w:space="0" w:color="3D3D3D"/>
          </w:divBdr>
          <w:divsChild>
            <w:div w:id="18586882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91648859">
      <w:bodyDiv w:val="1"/>
      <w:marLeft w:val="0"/>
      <w:marRight w:val="0"/>
      <w:marTop w:val="0"/>
      <w:marBottom w:val="0"/>
      <w:divBdr>
        <w:top w:val="none" w:sz="0" w:space="0" w:color="auto"/>
        <w:left w:val="none" w:sz="0" w:space="0" w:color="auto"/>
        <w:bottom w:val="none" w:sz="0" w:space="0" w:color="auto"/>
        <w:right w:val="none" w:sz="0" w:space="0" w:color="auto"/>
      </w:divBdr>
      <w:divsChild>
        <w:div w:id="49697864">
          <w:marLeft w:val="0"/>
          <w:marRight w:val="0"/>
          <w:marTop w:val="0"/>
          <w:marBottom w:val="0"/>
          <w:divBdr>
            <w:top w:val="none" w:sz="0" w:space="0" w:color="3D3D3D"/>
            <w:left w:val="none" w:sz="0" w:space="0" w:color="3D3D3D"/>
            <w:bottom w:val="none" w:sz="0" w:space="0" w:color="3D3D3D"/>
            <w:right w:val="none" w:sz="0" w:space="0" w:color="3D3D3D"/>
          </w:divBdr>
          <w:divsChild>
            <w:div w:id="12271787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93880201">
      <w:bodyDiv w:val="1"/>
      <w:marLeft w:val="0"/>
      <w:marRight w:val="0"/>
      <w:marTop w:val="0"/>
      <w:marBottom w:val="0"/>
      <w:divBdr>
        <w:top w:val="none" w:sz="0" w:space="0" w:color="auto"/>
        <w:left w:val="none" w:sz="0" w:space="0" w:color="auto"/>
        <w:bottom w:val="none" w:sz="0" w:space="0" w:color="auto"/>
        <w:right w:val="none" w:sz="0" w:space="0" w:color="auto"/>
      </w:divBdr>
      <w:divsChild>
        <w:div w:id="1142388744">
          <w:marLeft w:val="0"/>
          <w:marRight w:val="0"/>
          <w:marTop w:val="0"/>
          <w:marBottom w:val="0"/>
          <w:divBdr>
            <w:top w:val="none" w:sz="0" w:space="0" w:color="3D3D3D"/>
            <w:left w:val="none" w:sz="0" w:space="0" w:color="3D3D3D"/>
            <w:bottom w:val="none" w:sz="0" w:space="0" w:color="3D3D3D"/>
            <w:right w:val="none" w:sz="0" w:space="0" w:color="3D3D3D"/>
          </w:divBdr>
          <w:divsChild>
            <w:div w:id="16654776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94150536">
      <w:bodyDiv w:val="1"/>
      <w:marLeft w:val="0"/>
      <w:marRight w:val="0"/>
      <w:marTop w:val="0"/>
      <w:marBottom w:val="0"/>
      <w:divBdr>
        <w:top w:val="none" w:sz="0" w:space="0" w:color="auto"/>
        <w:left w:val="none" w:sz="0" w:space="0" w:color="auto"/>
        <w:bottom w:val="none" w:sz="0" w:space="0" w:color="auto"/>
        <w:right w:val="none" w:sz="0" w:space="0" w:color="auto"/>
      </w:divBdr>
      <w:divsChild>
        <w:div w:id="464130499">
          <w:marLeft w:val="0"/>
          <w:marRight w:val="0"/>
          <w:marTop w:val="0"/>
          <w:marBottom w:val="0"/>
          <w:divBdr>
            <w:top w:val="none" w:sz="0" w:space="0" w:color="3D3D3D"/>
            <w:left w:val="none" w:sz="0" w:space="0" w:color="3D3D3D"/>
            <w:bottom w:val="none" w:sz="0" w:space="0" w:color="3D3D3D"/>
            <w:right w:val="none" w:sz="0" w:space="0" w:color="3D3D3D"/>
          </w:divBdr>
          <w:divsChild>
            <w:div w:id="78115165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13466184">
      <w:bodyDiv w:val="1"/>
      <w:marLeft w:val="0"/>
      <w:marRight w:val="0"/>
      <w:marTop w:val="0"/>
      <w:marBottom w:val="0"/>
      <w:divBdr>
        <w:top w:val="none" w:sz="0" w:space="0" w:color="auto"/>
        <w:left w:val="none" w:sz="0" w:space="0" w:color="auto"/>
        <w:bottom w:val="none" w:sz="0" w:space="0" w:color="auto"/>
        <w:right w:val="none" w:sz="0" w:space="0" w:color="auto"/>
      </w:divBdr>
      <w:divsChild>
        <w:div w:id="1745830963">
          <w:marLeft w:val="0"/>
          <w:marRight w:val="0"/>
          <w:marTop w:val="0"/>
          <w:marBottom w:val="0"/>
          <w:divBdr>
            <w:top w:val="none" w:sz="0" w:space="0" w:color="3D3D3D"/>
            <w:left w:val="none" w:sz="0" w:space="0" w:color="3D3D3D"/>
            <w:bottom w:val="none" w:sz="0" w:space="0" w:color="3D3D3D"/>
            <w:right w:val="none" w:sz="0" w:space="0" w:color="3D3D3D"/>
          </w:divBdr>
          <w:divsChild>
            <w:div w:id="13593507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14387078">
      <w:bodyDiv w:val="1"/>
      <w:marLeft w:val="0"/>
      <w:marRight w:val="0"/>
      <w:marTop w:val="0"/>
      <w:marBottom w:val="0"/>
      <w:divBdr>
        <w:top w:val="none" w:sz="0" w:space="0" w:color="auto"/>
        <w:left w:val="none" w:sz="0" w:space="0" w:color="auto"/>
        <w:bottom w:val="none" w:sz="0" w:space="0" w:color="auto"/>
        <w:right w:val="none" w:sz="0" w:space="0" w:color="auto"/>
      </w:divBdr>
      <w:divsChild>
        <w:div w:id="1198078212">
          <w:marLeft w:val="0"/>
          <w:marRight w:val="0"/>
          <w:marTop w:val="0"/>
          <w:marBottom w:val="0"/>
          <w:divBdr>
            <w:top w:val="none" w:sz="0" w:space="0" w:color="3D3D3D"/>
            <w:left w:val="none" w:sz="0" w:space="0" w:color="3D3D3D"/>
            <w:bottom w:val="none" w:sz="0" w:space="0" w:color="3D3D3D"/>
            <w:right w:val="none" w:sz="0" w:space="0" w:color="3D3D3D"/>
          </w:divBdr>
          <w:divsChild>
            <w:div w:id="6665204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1255496">
      <w:bodyDiv w:val="1"/>
      <w:marLeft w:val="0"/>
      <w:marRight w:val="0"/>
      <w:marTop w:val="0"/>
      <w:marBottom w:val="0"/>
      <w:divBdr>
        <w:top w:val="none" w:sz="0" w:space="0" w:color="auto"/>
        <w:left w:val="none" w:sz="0" w:space="0" w:color="auto"/>
        <w:bottom w:val="none" w:sz="0" w:space="0" w:color="auto"/>
        <w:right w:val="none" w:sz="0" w:space="0" w:color="auto"/>
      </w:divBdr>
      <w:divsChild>
        <w:div w:id="1792557090">
          <w:marLeft w:val="0"/>
          <w:marRight w:val="0"/>
          <w:marTop w:val="0"/>
          <w:marBottom w:val="0"/>
          <w:divBdr>
            <w:top w:val="none" w:sz="0" w:space="0" w:color="3D3D3D"/>
            <w:left w:val="none" w:sz="0" w:space="0" w:color="3D3D3D"/>
            <w:bottom w:val="none" w:sz="0" w:space="0" w:color="3D3D3D"/>
            <w:right w:val="none" w:sz="0" w:space="0" w:color="3D3D3D"/>
          </w:divBdr>
          <w:divsChild>
            <w:div w:id="3542333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57902930">
      <w:bodyDiv w:val="1"/>
      <w:marLeft w:val="0"/>
      <w:marRight w:val="0"/>
      <w:marTop w:val="0"/>
      <w:marBottom w:val="0"/>
      <w:divBdr>
        <w:top w:val="none" w:sz="0" w:space="0" w:color="auto"/>
        <w:left w:val="none" w:sz="0" w:space="0" w:color="auto"/>
        <w:bottom w:val="none" w:sz="0" w:space="0" w:color="auto"/>
        <w:right w:val="none" w:sz="0" w:space="0" w:color="auto"/>
      </w:divBdr>
      <w:divsChild>
        <w:div w:id="595794388">
          <w:marLeft w:val="0"/>
          <w:marRight w:val="0"/>
          <w:marTop w:val="0"/>
          <w:marBottom w:val="0"/>
          <w:divBdr>
            <w:top w:val="none" w:sz="0" w:space="0" w:color="3D3D3D"/>
            <w:left w:val="none" w:sz="0" w:space="0" w:color="3D3D3D"/>
            <w:bottom w:val="none" w:sz="0" w:space="0" w:color="3D3D3D"/>
            <w:right w:val="none" w:sz="0" w:space="0" w:color="3D3D3D"/>
          </w:divBdr>
          <w:divsChild>
            <w:div w:id="175081350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66303124">
      <w:bodyDiv w:val="1"/>
      <w:marLeft w:val="0"/>
      <w:marRight w:val="0"/>
      <w:marTop w:val="0"/>
      <w:marBottom w:val="0"/>
      <w:divBdr>
        <w:top w:val="none" w:sz="0" w:space="0" w:color="auto"/>
        <w:left w:val="none" w:sz="0" w:space="0" w:color="auto"/>
        <w:bottom w:val="none" w:sz="0" w:space="0" w:color="auto"/>
        <w:right w:val="none" w:sz="0" w:space="0" w:color="auto"/>
      </w:divBdr>
      <w:divsChild>
        <w:div w:id="1164979516">
          <w:marLeft w:val="0"/>
          <w:marRight w:val="0"/>
          <w:marTop w:val="0"/>
          <w:marBottom w:val="0"/>
          <w:divBdr>
            <w:top w:val="none" w:sz="0" w:space="0" w:color="3D3D3D"/>
            <w:left w:val="none" w:sz="0" w:space="0" w:color="3D3D3D"/>
            <w:bottom w:val="none" w:sz="0" w:space="0" w:color="3D3D3D"/>
            <w:right w:val="none" w:sz="0" w:space="0" w:color="3D3D3D"/>
          </w:divBdr>
        </w:div>
      </w:divsChild>
    </w:div>
    <w:div w:id="1985158653">
      <w:bodyDiv w:val="1"/>
      <w:marLeft w:val="0"/>
      <w:marRight w:val="0"/>
      <w:marTop w:val="0"/>
      <w:marBottom w:val="0"/>
      <w:divBdr>
        <w:top w:val="none" w:sz="0" w:space="0" w:color="auto"/>
        <w:left w:val="none" w:sz="0" w:space="0" w:color="auto"/>
        <w:bottom w:val="none" w:sz="0" w:space="0" w:color="auto"/>
        <w:right w:val="none" w:sz="0" w:space="0" w:color="auto"/>
      </w:divBdr>
      <w:divsChild>
        <w:div w:id="357051705">
          <w:marLeft w:val="0"/>
          <w:marRight w:val="0"/>
          <w:marTop w:val="0"/>
          <w:marBottom w:val="0"/>
          <w:divBdr>
            <w:top w:val="none" w:sz="0" w:space="0" w:color="3D3D3D"/>
            <w:left w:val="none" w:sz="0" w:space="0" w:color="3D3D3D"/>
            <w:bottom w:val="none" w:sz="0" w:space="0" w:color="3D3D3D"/>
            <w:right w:val="none" w:sz="0" w:space="0" w:color="3D3D3D"/>
          </w:divBdr>
          <w:divsChild>
            <w:div w:id="18673270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99534385">
      <w:bodyDiv w:val="1"/>
      <w:marLeft w:val="0"/>
      <w:marRight w:val="0"/>
      <w:marTop w:val="0"/>
      <w:marBottom w:val="0"/>
      <w:divBdr>
        <w:top w:val="none" w:sz="0" w:space="0" w:color="auto"/>
        <w:left w:val="none" w:sz="0" w:space="0" w:color="auto"/>
        <w:bottom w:val="none" w:sz="0" w:space="0" w:color="auto"/>
        <w:right w:val="none" w:sz="0" w:space="0" w:color="auto"/>
      </w:divBdr>
      <w:divsChild>
        <w:div w:id="1228225066">
          <w:marLeft w:val="0"/>
          <w:marRight w:val="0"/>
          <w:marTop w:val="0"/>
          <w:marBottom w:val="0"/>
          <w:divBdr>
            <w:top w:val="none" w:sz="0" w:space="0" w:color="3D3D3D"/>
            <w:left w:val="none" w:sz="0" w:space="0" w:color="3D3D3D"/>
            <w:bottom w:val="none" w:sz="0" w:space="0" w:color="3D3D3D"/>
            <w:right w:val="none" w:sz="0" w:space="0" w:color="3D3D3D"/>
          </w:divBdr>
          <w:divsChild>
            <w:div w:id="14053764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99723257">
      <w:bodyDiv w:val="1"/>
      <w:marLeft w:val="0"/>
      <w:marRight w:val="0"/>
      <w:marTop w:val="0"/>
      <w:marBottom w:val="0"/>
      <w:divBdr>
        <w:top w:val="none" w:sz="0" w:space="0" w:color="auto"/>
        <w:left w:val="none" w:sz="0" w:space="0" w:color="auto"/>
        <w:bottom w:val="none" w:sz="0" w:space="0" w:color="auto"/>
        <w:right w:val="none" w:sz="0" w:space="0" w:color="auto"/>
      </w:divBdr>
      <w:divsChild>
        <w:div w:id="1103495635">
          <w:marLeft w:val="0"/>
          <w:marRight w:val="0"/>
          <w:marTop w:val="0"/>
          <w:marBottom w:val="0"/>
          <w:divBdr>
            <w:top w:val="none" w:sz="0" w:space="0" w:color="3D3D3D"/>
            <w:left w:val="none" w:sz="0" w:space="0" w:color="3D3D3D"/>
            <w:bottom w:val="none" w:sz="0" w:space="0" w:color="3D3D3D"/>
            <w:right w:val="none" w:sz="0" w:space="0" w:color="3D3D3D"/>
          </w:divBdr>
          <w:divsChild>
            <w:div w:id="19547083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14260912">
      <w:bodyDiv w:val="1"/>
      <w:marLeft w:val="0"/>
      <w:marRight w:val="0"/>
      <w:marTop w:val="0"/>
      <w:marBottom w:val="0"/>
      <w:divBdr>
        <w:top w:val="none" w:sz="0" w:space="0" w:color="auto"/>
        <w:left w:val="none" w:sz="0" w:space="0" w:color="auto"/>
        <w:bottom w:val="none" w:sz="0" w:space="0" w:color="auto"/>
        <w:right w:val="none" w:sz="0" w:space="0" w:color="auto"/>
      </w:divBdr>
      <w:divsChild>
        <w:div w:id="1607620230">
          <w:marLeft w:val="0"/>
          <w:marRight w:val="0"/>
          <w:marTop w:val="0"/>
          <w:marBottom w:val="0"/>
          <w:divBdr>
            <w:top w:val="none" w:sz="0" w:space="0" w:color="3D3D3D"/>
            <w:left w:val="none" w:sz="0" w:space="0" w:color="3D3D3D"/>
            <w:bottom w:val="none" w:sz="0" w:space="0" w:color="3D3D3D"/>
            <w:right w:val="none" w:sz="0" w:space="0" w:color="3D3D3D"/>
          </w:divBdr>
          <w:divsChild>
            <w:div w:id="20859101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16765286">
      <w:bodyDiv w:val="1"/>
      <w:marLeft w:val="0"/>
      <w:marRight w:val="0"/>
      <w:marTop w:val="0"/>
      <w:marBottom w:val="0"/>
      <w:divBdr>
        <w:top w:val="none" w:sz="0" w:space="0" w:color="auto"/>
        <w:left w:val="none" w:sz="0" w:space="0" w:color="auto"/>
        <w:bottom w:val="none" w:sz="0" w:space="0" w:color="auto"/>
        <w:right w:val="none" w:sz="0" w:space="0" w:color="auto"/>
      </w:divBdr>
      <w:divsChild>
        <w:div w:id="1673793637">
          <w:marLeft w:val="0"/>
          <w:marRight w:val="0"/>
          <w:marTop w:val="0"/>
          <w:marBottom w:val="0"/>
          <w:divBdr>
            <w:top w:val="none" w:sz="0" w:space="0" w:color="3D3D3D"/>
            <w:left w:val="none" w:sz="0" w:space="0" w:color="3D3D3D"/>
            <w:bottom w:val="none" w:sz="0" w:space="0" w:color="3D3D3D"/>
            <w:right w:val="none" w:sz="0" w:space="0" w:color="3D3D3D"/>
          </w:divBdr>
          <w:divsChild>
            <w:div w:id="145313271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34380345">
      <w:bodyDiv w:val="1"/>
      <w:marLeft w:val="0"/>
      <w:marRight w:val="0"/>
      <w:marTop w:val="0"/>
      <w:marBottom w:val="0"/>
      <w:divBdr>
        <w:top w:val="none" w:sz="0" w:space="0" w:color="auto"/>
        <w:left w:val="none" w:sz="0" w:space="0" w:color="auto"/>
        <w:bottom w:val="none" w:sz="0" w:space="0" w:color="auto"/>
        <w:right w:val="none" w:sz="0" w:space="0" w:color="auto"/>
      </w:divBdr>
    </w:div>
    <w:div w:id="2038966637">
      <w:bodyDiv w:val="1"/>
      <w:marLeft w:val="0"/>
      <w:marRight w:val="0"/>
      <w:marTop w:val="0"/>
      <w:marBottom w:val="0"/>
      <w:divBdr>
        <w:top w:val="none" w:sz="0" w:space="0" w:color="auto"/>
        <w:left w:val="none" w:sz="0" w:space="0" w:color="auto"/>
        <w:bottom w:val="none" w:sz="0" w:space="0" w:color="auto"/>
        <w:right w:val="none" w:sz="0" w:space="0" w:color="auto"/>
      </w:divBdr>
    </w:div>
    <w:div w:id="2094471440">
      <w:bodyDiv w:val="1"/>
      <w:marLeft w:val="0"/>
      <w:marRight w:val="0"/>
      <w:marTop w:val="0"/>
      <w:marBottom w:val="0"/>
      <w:divBdr>
        <w:top w:val="none" w:sz="0" w:space="0" w:color="auto"/>
        <w:left w:val="none" w:sz="0" w:space="0" w:color="auto"/>
        <w:bottom w:val="none" w:sz="0" w:space="0" w:color="auto"/>
        <w:right w:val="none" w:sz="0" w:space="0" w:color="auto"/>
      </w:divBdr>
      <w:divsChild>
        <w:div w:id="943615761">
          <w:marLeft w:val="0"/>
          <w:marRight w:val="0"/>
          <w:marTop w:val="0"/>
          <w:marBottom w:val="0"/>
          <w:divBdr>
            <w:top w:val="none" w:sz="0" w:space="0" w:color="3D3D3D"/>
            <w:left w:val="none" w:sz="0" w:space="0" w:color="3D3D3D"/>
            <w:bottom w:val="none" w:sz="0" w:space="0" w:color="3D3D3D"/>
            <w:right w:val="none" w:sz="0" w:space="0" w:color="3D3D3D"/>
          </w:divBdr>
          <w:divsChild>
            <w:div w:id="5233264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8138586">
      <w:bodyDiv w:val="1"/>
      <w:marLeft w:val="0"/>
      <w:marRight w:val="0"/>
      <w:marTop w:val="0"/>
      <w:marBottom w:val="0"/>
      <w:divBdr>
        <w:top w:val="none" w:sz="0" w:space="0" w:color="auto"/>
        <w:left w:val="none" w:sz="0" w:space="0" w:color="auto"/>
        <w:bottom w:val="none" w:sz="0" w:space="0" w:color="auto"/>
        <w:right w:val="none" w:sz="0" w:space="0" w:color="auto"/>
      </w:divBdr>
    </w:div>
    <w:div w:id="2106225634">
      <w:bodyDiv w:val="1"/>
      <w:marLeft w:val="0"/>
      <w:marRight w:val="0"/>
      <w:marTop w:val="0"/>
      <w:marBottom w:val="0"/>
      <w:divBdr>
        <w:top w:val="none" w:sz="0" w:space="0" w:color="auto"/>
        <w:left w:val="none" w:sz="0" w:space="0" w:color="auto"/>
        <w:bottom w:val="none" w:sz="0" w:space="0" w:color="auto"/>
        <w:right w:val="none" w:sz="0" w:space="0" w:color="auto"/>
      </w:divBdr>
      <w:divsChild>
        <w:div w:id="1836653783">
          <w:marLeft w:val="0"/>
          <w:marRight w:val="0"/>
          <w:marTop w:val="0"/>
          <w:marBottom w:val="0"/>
          <w:divBdr>
            <w:top w:val="none" w:sz="0" w:space="0" w:color="3D3D3D"/>
            <w:left w:val="none" w:sz="0" w:space="0" w:color="3D3D3D"/>
            <w:bottom w:val="none" w:sz="0" w:space="0" w:color="3D3D3D"/>
            <w:right w:val="none" w:sz="0" w:space="0" w:color="3D3D3D"/>
          </w:divBdr>
          <w:divsChild>
            <w:div w:id="14777992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14353879">
      <w:bodyDiv w:val="1"/>
      <w:marLeft w:val="0"/>
      <w:marRight w:val="0"/>
      <w:marTop w:val="0"/>
      <w:marBottom w:val="0"/>
      <w:divBdr>
        <w:top w:val="none" w:sz="0" w:space="0" w:color="auto"/>
        <w:left w:val="none" w:sz="0" w:space="0" w:color="auto"/>
        <w:bottom w:val="none" w:sz="0" w:space="0" w:color="auto"/>
        <w:right w:val="none" w:sz="0" w:space="0" w:color="auto"/>
      </w:divBdr>
      <w:divsChild>
        <w:div w:id="728773032">
          <w:marLeft w:val="0"/>
          <w:marRight w:val="0"/>
          <w:marTop w:val="0"/>
          <w:marBottom w:val="0"/>
          <w:divBdr>
            <w:top w:val="none" w:sz="0" w:space="0" w:color="3D3D3D"/>
            <w:left w:val="none" w:sz="0" w:space="0" w:color="3D3D3D"/>
            <w:bottom w:val="none" w:sz="0" w:space="0" w:color="3D3D3D"/>
            <w:right w:val="none" w:sz="0" w:space="0" w:color="3D3D3D"/>
          </w:divBdr>
          <w:divsChild>
            <w:div w:id="12764499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15902658">
      <w:bodyDiv w:val="1"/>
      <w:marLeft w:val="0"/>
      <w:marRight w:val="0"/>
      <w:marTop w:val="0"/>
      <w:marBottom w:val="0"/>
      <w:divBdr>
        <w:top w:val="none" w:sz="0" w:space="0" w:color="auto"/>
        <w:left w:val="none" w:sz="0" w:space="0" w:color="auto"/>
        <w:bottom w:val="none" w:sz="0" w:space="0" w:color="auto"/>
        <w:right w:val="none" w:sz="0" w:space="0" w:color="auto"/>
      </w:divBdr>
      <w:divsChild>
        <w:div w:id="185095324">
          <w:marLeft w:val="0"/>
          <w:marRight w:val="0"/>
          <w:marTop w:val="0"/>
          <w:marBottom w:val="0"/>
          <w:divBdr>
            <w:top w:val="none" w:sz="0" w:space="0" w:color="3D3D3D"/>
            <w:left w:val="none" w:sz="0" w:space="0" w:color="3D3D3D"/>
            <w:bottom w:val="none" w:sz="0" w:space="0" w:color="3D3D3D"/>
            <w:right w:val="none" w:sz="0" w:space="0" w:color="3D3D3D"/>
          </w:divBdr>
          <w:divsChild>
            <w:div w:id="18600493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175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690B38B7530D54EA839455C29201EEC" ma:contentTypeVersion="18" ma:contentTypeDescription="Create a new document." ma:contentTypeScope="" ma:versionID="85d9a7d55eeebc9cc77c4b5ef978940d">
  <xsd:schema xmlns:xsd="http://www.w3.org/2001/XMLSchema" xmlns:xs="http://www.w3.org/2001/XMLSchema" xmlns:p="http://schemas.microsoft.com/office/2006/metadata/properties" xmlns:ns2="76f1d5e6-7083-4776-8a81-ad0f27a50ffb" xmlns:ns3="fef6b4e0-1748-4cc1-83fc-8e219ad5a991" targetNamespace="http://schemas.microsoft.com/office/2006/metadata/properties" ma:root="true" ma:fieldsID="1166b0d22987f8569da0cfd6ce053032" ns2:_="" ns3:_="">
    <xsd:import namespace="76f1d5e6-7083-4776-8a81-ad0f27a50ffb"/>
    <xsd:import namespace="fef6b4e0-1748-4cc1-83fc-8e219ad5a9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1d5e6-7083-4776-8a81-ad0f27a50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6b4e0-1748-4cc1-83fc-8e219ad5a99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6e0f4c-6808-4e4f-907c-9d67648dc9ef}" ma:internalName="TaxCatchAll" ma:showField="CatchAllData" ma:web="fef6b4e0-1748-4cc1-83fc-8e219ad5a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f1d5e6-7083-4776-8a81-ad0f27a50ffb">
      <Terms xmlns="http://schemas.microsoft.com/office/infopath/2007/PartnerControls"/>
    </lcf76f155ced4ddcb4097134ff3c332f>
    <TaxCatchAll xmlns="fef6b4e0-1748-4cc1-83fc-8e219ad5a99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3F1CD-1EE6-426F-A91D-A8ED43C5B71C}">
  <ds:schemaRefs>
    <ds:schemaRef ds:uri="Microsoft.SharePoint.Taxonomy.ContentTypeSync"/>
  </ds:schemaRefs>
</ds:datastoreItem>
</file>

<file path=customXml/itemProps2.xml><?xml version="1.0" encoding="utf-8"?>
<ds:datastoreItem xmlns:ds="http://schemas.openxmlformats.org/officeDocument/2006/customXml" ds:itemID="{6C0044F5-AA43-4DDD-9D44-FF37D1BA07AF}"/>
</file>

<file path=customXml/itemProps3.xml><?xml version="1.0" encoding="utf-8"?>
<ds:datastoreItem xmlns:ds="http://schemas.openxmlformats.org/officeDocument/2006/customXml" ds:itemID="{74B9C7E2-700C-4549-9288-0BA53D16FD1E}">
  <ds:schemaRefs>
    <ds:schemaRef ds:uri="http://schemas.microsoft.com/office/2006/metadata/properties"/>
    <ds:schemaRef ds:uri="http://schemas.microsoft.com/office/infopath/2007/PartnerControls"/>
    <ds:schemaRef ds:uri="5e8733a2-e908-454b-85cf-c9d17e1d0943"/>
  </ds:schemaRefs>
</ds:datastoreItem>
</file>

<file path=customXml/itemProps4.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5.xml><?xml version="1.0" encoding="utf-8"?>
<ds:datastoreItem xmlns:ds="http://schemas.openxmlformats.org/officeDocument/2006/customXml" ds:itemID="{EFBF3D5A-70F0-4093-AE38-AD79BCBB0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14916</Words>
  <Characters>85022</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99739</CharactersWithSpaces>
  <SharedDoc>false</SharedDoc>
  <HyperlinkBase/>
  <HLinks>
    <vt:vector size="54" baseType="variant">
      <vt:variant>
        <vt:i4>4849676</vt:i4>
      </vt:variant>
      <vt:variant>
        <vt:i4>24</vt:i4>
      </vt:variant>
      <vt:variant>
        <vt:i4>0</vt:i4>
      </vt:variant>
      <vt:variant>
        <vt:i4>5</vt:i4>
      </vt:variant>
      <vt:variant>
        <vt:lpwstr>https://www.epa.gov/system/files/documents/2024-10/rags_a_508.pdf</vt:lpwstr>
      </vt:variant>
      <vt:variant>
        <vt:lpwstr/>
      </vt:variant>
      <vt:variant>
        <vt:i4>7143500</vt:i4>
      </vt:variant>
      <vt:variant>
        <vt:i4>21</vt:i4>
      </vt:variant>
      <vt:variant>
        <vt:i4>0</vt:i4>
      </vt:variant>
      <vt:variant>
        <vt:i4>5</vt:i4>
      </vt:variant>
      <vt:variant>
        <vt:lpwstr>https://www.deq.louisiana.gov/assets/docs/Air/Air_Permit_Applications/r06_LouisianaGuidanceforAirPermittingActions.pdf</vt:lpwstr>
      </vt:variant>
      <vt:variant>
        <vt:lpwstr/>
      </vt:variant>
      <vt:variant>
        <vt:i4>2752635</vt:i4>
      </vt:variant>
      <vt:variant>
        <vt:i4>18</vt:i4>
      </vt:variant>
      <vt:variant>
        <vt:i4>0</vt:i4>
      </vt:variant>
      <vt:variant>
        <vt:i4>5</vt:i4>
      </vt:variant>
      <vt:variant>
        <vt:lpwstr>https://deq.louisiana.gov/index.cfm?md=pagebuilder&amp;tmp=home&amp;pid=EmissionsInventory</vt:lpwstr>
      </vt:variant>
      <vt:variant>
        <vt:lpwstr/>
      </vt:variant>
      <vt:variant>
        <vt:i4>8257656</vt:i4>
      </vt:variant>
      <vt:variant>
        <vt:i4>15</vt:i4>
      </vt:variant>
      <vt:variant>
        <vt:i4>0</vt:i4>
      </vt:variant>
      <vt:variant>
        <vt:i4>5</vt:i4>
      </vt:variant>
      <vt:variant>
        <vt:lpwstr>https://gaftp.epa.gov/aqmg/SCRAM/models/preferred/aermod/aermod_implementation_guide.pdf</vt:lpwstr>
      </vt:variant>
      <vt:variant>
        <vt:lpwstr/>
      </vt:variant>
      <vt:variant>
        <vt:i4>6291570</vt:i4>
      </vt:variant>
      <vt:variant>
        <vt:i4>12</vt:i4>
      </vt:variant>
      <vt:variant>
        <vt:i4>0</vt:i4>
      </vt:variant>
      <vt:variant>
        <vt:i4>5</vt:i4>
      </vt:variant>
      <vt:variant>
        <vt:lpwstr>https://www.epa.gov/scram/air-quality-dispersion-modeling-preferred-and-recommended-models</vt:lpwstr>
      </vt:variant>
      <vt:variant>
        <vt:lpwstr/>
      </vt:variant>
      <vt:variant>
        <vt:i4>5775465</vt:i4>
      </vt:variant>
      <vt:variant>
        <vt:i4>9</vt:i4>
      </vt:variant>
      <vt:variant>
        <vt:i4>0</vt:i4>
      </vt:variant>
      <vt:variant>
        <vt:i4>5</vt:i4>
      </vt:variant>
      <vt:variant>
        <vt:lpwstr>https://www.epa.gov/‌system/files/documents/2024-11/background-concentrations.pdf</vt:lpwstr>
      </vt:variant>
      <vt:variant>
        <vt:lpwstr/>
      </vt:variant>
      <vt:variant>
        <vt:i4>7929937</vt:i4>
      </vt:variant>
      <vt:variant>
        <vt:i4>6</vt:i4>
      </vt:variant>
      <vt:variant>
        <vt:i4>0</vt:i4>
      </vt:variant>
      <vt:variant>
        <vt:i4>5</vt:i4>
      </vt:variant>
      <vt:variant>
        <vt:lpwstr>https://www.epa.gov/sites/default/files/2018-04/documents/legal_memorandum_final_4-17-18.pdf</vt:lpwstr>
      </vt:variant>
      <vt:variant>
        <vt:lpwstr/>
      </vt:variant>
      <vt:variant>
        <vt:i4>851976</vt:i4>
      </vt:variant>
      <vt:variant>
        <vt:i4>3</vt:i4>
      </vt:variant>
      <vt:variant>
        <vt:i4>0</vt:i4>
      </vt:variant>
      <vt:variant>
        <vt:i4>5</vt:i4>
      </vt:variant>
      <vt:variant>
        <vt:lpwstr>https://www.epa.gov/sites/default/files/2015-07/documents/appwno2.pdf</vt:lpwstr>
      </vt:variant>
      <vt:variant>
        <vt:lpwstr/>
      </vt:variant>
      <vt:variant>
        <vt:i4>3604602</vt:i4>
      </vt:variant>
      <vt:variant>
        <vt:i4>0</vt:i4>
      </vt:variant>
      <vt:variant>
        <vt:i4>0</vt:i4>
      </vt:variant>
      <vt:variant>
        <vt:i4>5</vt:i4>
      </vt:variant>
      <vt:variant>
        <vt:lpwstr>https://19january2021snapshot.epa.gov/sites/static/files/2018-04/documents/sils_guidance_2018.pdf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2025-06-04T20:25:00Z</dcterms:created>
  <dcterms:modified xsi:type="dcterms:W3CDTF">2025-06-04T20:25:00Z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0x0101003690B38B7530D54EA839455C29201EEC</vt:lpwstr>
  </property>
</Properties>
</file>